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346" w:rsidRDefault="00FA524D">
      <w:pPr>
        <w:rPr>
          <w:b/>
          <w:u w:val="single"/>
        </w:rPr>
      </w:pPr>
      <w:r>
        <w:rPr>
          <w:b/>
          <w:u w:val="single"/>
        </w:rPr>
        <w:t xml:space="preserve">Contract Negotiations and Execution </w:t>
      </w:r>
      <w:r w:rsidR="00ED476E">
        <w:rPr>
          <w:b/>
          <w:u w:val="single"/>
        </w:rPr>
        <w:t>– Key Tasks and Considerations</w:t>
      </w:r>
    </w:p>
    <w:p w:rsidR="004A6B0B" w:rsidRDefault="008B14B3" w:rsidP="00523E34">
      <w:bookmarkStart w:id="0" w:name="_GoBack"/>
      <w:bookmarkEnd w:id="0"/>
      <w:r>
        <w:t>C</w:t>
      </w:r>
      <w:r w:rsidR="0053067C">
        <w:t>onducting</w:t>
      </w:r>
      <w:r w:rsidR="00CC6CBB">
        <w:t xml:space="preserve"> </w:t>
      </w:r>
      <w:r w:rsidR="00CF76D0" w:rsidRPr="00CF76D0">
        <w:t xml:space="preserve">contract negotiations </w:t>
      </w:r>
      <w:r w:rsidR="005D0009">
        <w:t xml:space="preserve">with the selected vendor </w:t>
      </w:r>
      <w:r>
        <w:t xml:space="preserve">is a critical component to </w:t>
      </w:r>
      <w:r w:rsidR="00CF76D0" w:rsidRPr="00CF76D0">
        <w:t xml:space="preserve">the </w:t>
      </w:r>
      <w:r w:rsidR="00E30B11">
        <w:t>RFP</w:t>
      </w:r>
      <w:r w:rsidR="00626370">
        <w:t xml:space="preserve"> </w:t>
      </w:r>
      <w:r w:rsidR="00CF76D0" w:rsidRPr="00CF76D0">
        <w:t>process.</w:t>
      </w:r>
      <w:r w:rsidR="00CF76D0">
        <w:t xml:space="preserve"> </w:t>
      </w:r>
      <w:r w:rsidR="006F26F5">
        <w:t xml:space="preserve">The review, negotiation, and </w:t>
      </w:r>
      <w:r>
        <w:t>execution</w:t>
      </w:r>
      <w:r w:rsidR="006F26F5">
        <w:t xml:space="preserve"> of the contract is critical</w:t>
      </w:r>
      <w:r w:rsidR="00E30B11">
        <w:t xml:space="preserve">, as </w:t>
      </w:r>
      <w:r w:rsidR="005D0009">
        <w:t xml:space="preserve">it </w:t>
      </w:r>
      <w:r w:rsidR="006F26F5">
        <w:t xml:space="preserve">will be utilized by the </w:t>
      </w:r>
      <w:r w:rsidR="00E30B11">
        <w:t>court</w:t>
      </w:r>
      <w:r w:rsidR="006F26F5">
        <w:t xml:space="preserve">, vendor, and </w:t>
      </w:r>
      <w:r w:rsidR="00E30B11">
        <w:t xml:space="preserve">any </w:t>
      </w:r>
      <w:r w:rsidR="006F26F5">
        <w:t xml:space="preserve">third parties </w:t>
      </w:r>
      <w:r>
        <w:t>to</w:t>
      </w:r>
      <w:r w:rsidR="006F26F5">
        <w:t xml:space="preserve"> define and administer all components of the project</w:t>
      </w:r>
      <w:r w:rsidR="005D0009">
        <w:t xml:space="preserve"> and solution</w:t>
      </w:r>
      <w:r w:rsidR="006F26F5">
        <w:t xml:space="preserve">. Included in this document are helpful hints, key considerations, and other items to be mindful of when reviewing, </w:t>
      </w:r>
      <w:r w:rsidR="00DB1B66">
        <w:t>negotiating</w:t>
      </w:r>
      <w:r w:rsidR="006F26F5">
        <w:t>, and finalizing a contract of this magnitude.</w:t>
      </w:r>
    </w:p>
    <w:tbl>
      <w:tblPr>
        <w:tblStyle w:val="TableGrid"/>
        <w:tblpPr w:leftFromText="180" w:rightFromText="180" w:vertAnchor="text" w:tblpY="1"/>
        <w:tblOverlap w:val="never"/>
        <w:tblW w:w="0" w:type="auto"/>
        <w:tblLook w:val="04A0" w:firstRow="1" w:lastRow="0" w:firstColumn="1" w:lastColumn="0" w:noHBand="0" w:noVBand="1"/>
      </w:tblPr>
      <w:tblGrid>
        <w:gridCol w:w="355"/>
        <w:gridCol w:w="9715"/>
      </w:tblGrid>
      <w:tr w:rsidR="004A6B0B" w:rsidRPr="00DA15AE" w:rsidTr="00E123DE">
        <w:tc>
          <w:tcPr>
            <w:tcW w:w="10070" w:type="dxa"/>
            <w:gridSpan w:val="2"/>
            <w:shd w:val="clear" w:color="auto" w:fill="E7E6E6" w:themeFill="background2"/>
          </w:tcPr>
          <w:p w:rsidR="004A6B0B" w:rsidRPr="004A6B0B" w:rsidRDefault="00DB1B66" w:rsidP="004A6B0B">
            <w:pPr>
              <w:rPr>
                <w:b/>
              </w:rPr>
            </w:pPr>
            <w:r>
              <w:rPr>
                <w:b/>
              </w:rPr>
              <w:t xml:space="preserve">Helpful Hints </w:t>
            </w:r>
            <w:r w:rsidR="00AE3D8F">
              <w:rPr>
                <w:b/>
              </w:rPr>
              <w:t>in preparing for Contract Negotiations</w:t>
            </w:r>
          </w:p>
        </w:tc>
      </w:tr>
      <w:tr w:rsidR="004A6B0B" w:rsidRPr="00DA15AE" w:rsidTr="00740EC4">
        <w:tc>
          <w:tcPr>
            <w:tcW w:w="355" w:type="dxa"/>
          </w:tcPr>
          <w:p w:rsidR="004A6B0B" w:rsidRPr="00DA15AE" w:rsidRDefault="004A6B0B" w:rsidP="00092441">
            <w:pPr>
              <w:rPr>
                <w:b/>
              </w:rPr>
            </w:pPr>
          </w:p>
        </w:tc>
        <w:tc>
          <w:tcPr>
            <w:tcW w:w="9715" w:type="dxa"/>
          </w:tcPr>
          <w:p w:rsidR="004A6B0B" w:rsidRPr="004A6B0B" w:rsidRDefault="004A6B0B" w:rsidP="004A6B0B">
            <w:r>
              <w:t xml:space="preserve">A well-defined RFP, proposal response, </w:t>
            </w:r>
            <w:r w:rsidR="005D0009">
              <w:t xml:space="preserve">evaluation notes, </w:t>
            </w:r>
            <w:r>
              <w:t xml:space="preserve">and documented negotiations agreed upon by the </w:t>
            </w:r>
            <w:r w:rsidR="004061E0">
              <w:t>court</w:t>
            </w:r>
            <w:r>
              <w:t xml:space="preserve"> and selected vendor will assist greatly in </w:t>
            </w:r>
            <w:r w:rsidR="00DB1B66">
              <w:t>the preparation of the</w:t>
            </w:r>
            <w:r>
              <w:t xml:space="preserve"> contract</w:t>
            </w:r>
            <w:r w:rsidR="00E30B11">
              <w:t xml:space="preserve">, </w:t>
            </w:r>
            <w:r>
              <w:t>as many of the components have already been defined</w:t>
            </w:r>
            <w:r w:rsidR="005D0009">
              <w:t>. For example</w:t>
            </w:r>
            <w:r>
              <w:t>, project deliverables, project schedule</w:t>
            </w:r>
            <w:r w:rsidR="00DB1B66">
              <w:t xml:space="preserve">, </w:t>
            </w:r>
            <w:r w:rsidR="004061E0">
              <w:t>technical components</w:t>
            </w:r>
            <w:r w:rsidR="005D0009">
              <w:t>,</w:t>
            </w:r>
            <w:r w:rsidR="002E7488">
              <w:t xml:space="preserve"> primary vendor team members, </w:t>
            </w:r>
            <w:r w:rsidR="00DB1B66">
              <w:t>and cost breakdowns</w:t>
            </w:r>
            <w:r w:rsidR="002E7488">
              <w:t xml:space="preserve"> should all be clear by this point in the process</w:t>
            </w:r>
            <w:r>
              <w:t xml:space="preserve">. </w:t>
            </w:r>
          </w:p>
        </w:tc>
      </w:tr>
      <w:tr w:rsidR="004A6B0B" w:rsidRPr="00DA15AE" w:rsidTr="00740EC4">
        <w:tc>
          <w:tcPr>
            <w:tcW w:w="355" w:type="dxa"/>
          </w:tcPr>
          <w:p w:rsidR="004A6B0B" w:rsidRPr="00DA15AE" w:rsidRDefault="004A6B0B" w:rsidP="00092441">
            <w:pPr>
              <w:rPr>
                <w:b/>
              </w:rPr>
            </w:pPr>
          </w:p>
        </w:tc>
        <w:tc>
          <w:tcPr>
            <w:tcW w:w="9715" w:type="dxa"/>
          </w:tcPr>
          <w:p w:rsidR="004A6B0B" w:rsidRPr="004A6B0B" w:rsidRDefault="004A6B0B" w:rsidP="004A6B0B">
            <w:r>
              <w:t>Identify early who be a part of contract negotiation</w:t>
            </w:r>
            <w:r w:rsidR="00DB1B66">
              <w:t>s</w:t>
            </w:r>
            <w:r>
              <w:t xml:space="preserve">. At a minimum, this should include the </w:t>
            </w:r>
            <w:r w:rsidR="00DB1B66">
              <w:t>p</w:t>
            </w:r>
            <w:r>
              <w:t xml:space="preserve">roject </w:t>
            </w:r>
            <w:r w:rsidR="00DB1B66">
              <w:t>m</w:t>
            </w:r>
            <w:r>
              <w:t xml:space="preserve">anager, </w:t>
            </w:r>
            <w:r w:rsidR="00DB1B66">
              <w:t>p</w:t>
            </w:r>
            <w:r>
              <w:t xml:space="preserve">rocurement </w:t>
            </w:r>
            <w:r w:rsidR="00DB1B66">
              <w:t>l</w:t>
            </w:r>
            <w:r>
              <w:t xml:space="preserve">ead, </w:t>
            </w:r>
            <w:r w:rsidR="00DB1B66">
              <w:t>l</w:t>
            </w:r>
            <w:r>
              <w:t xml:space="preserve">egal, </w:t>
            </w:r>
            <w:r w:rsidR="00DB1B66">
              <w:t>f</w:t>
            </w:r>
            <w:r>
              <w:t xml:space="preserve">inance, IT, and </w:t>
            </w:r>
            <w:r w:rsidR="00DB1B66">
              <w:t>k</w:t>
            </w:r>
            <w:r>
              <w:t xml:space="preserve">ey </w:t>
            </w:r>
            <w:r w:rsidR="00DB1B66">
              <w:t>s</w:t>
            </w:r>
            <w:r>
              <w:t xml:space="preserve">take </w:t>
            </w:r>
            <w:r w:rsidR="00DB1B66">
              <w:t>h</w:t>
            </w:r>
            <w:r>
              <w:t>olders.</w:t>
            </w:r>
          </w:p>
        </w:tc>
      </w:tr>
      <w:tr w:rsidR="004A6B0B" w:rsidRPr="00DA15AE" w:rsidTr="00740EC4">
        <w:tc>
          <w:tcPr>
            <w:tcW w:w="355" w:type="dxa"/>
          </w:tcPr>
          <w:p w:rsidR="004A6B0B" w:rsidRPr="00DA15AE" w:rsidRDefault="004A6B0B" w:rsidP="00092441">
            <w:pPr>
              <w:rPr>
                <w:b/>
              </w:rPr>
            </w:pPr>
          </w:p>
        </w:tc>
        <w:tc>
          <w:tcPr>
            <w:tcW w:w="9715" w:type="dxa"/>
          </w:tcPr>
          <w:p w:rsidR="004A6B0B" w:rsidRPr="004A6B0B" w:rsidRDefault="004A6B0B" w:rsidP="004A6B0B">
            <w:r>
              <w:t>Plan and prepare for a timely</w:t>
            </w:r>
            <w:r w:rsidRPr="003F1C35">
              <w:t xml:space="preserve"> process </w:t>
            </w:r>
            <w:r>
              <w:t xml:space="preserve">which will involve </w:t>
            </w:r>
            <w:r w:rsidRPr="003F1C35">
              <w:t>multiple parties</w:t>
            </w:r>
            <w:r>
              <w:t xml:space="preserve"> from both</w:t>
            </w:r>
            <w:r w:rsidRPr="003F1C35">
              <w:t xml:space="preserve"> the </w:t>
            </w:r>
            <w:r w:rsidR="004061E0">
              <w:t>court</w:t>
            </w:r>
            <w:r w:rsidRPr="003F1C35">
              <w:t xml:space="preserve"> and </w:t>
            </w:r>
            <w:r>
              <w:t>selected</w:t>
            </w:r>
            <w:r w:rsidRPr="003F1C35">
              <w:t xml:space="preserve"> vendor</w:t>
            </w:r>
            <w:r w:rsidR="00DB1B66">
              <w:t>.</w:t>
            </w:r>
          </w:p>
        </w:tc>
      </w:tr>
      <w:tr w:rsidR="004A6B0B" w:rsidRPr="00DA15AE" w:rsidTr="00740EC4">
        <w:tc>
          <w:tcPr>
            <w:tcW w:w="355" w:type="dxa"/>
          </w:tcPr>
          <w:p w:rsidR="004A6B0B" w:rsidRPr="00DA15AE" w:rsidRDefault="004A6B0B" w:rsidP="00092441">
            <w:pPr>
              <w:rPr>
                <w:b/>
              </w:rPr>
            </w:pPr>
          </w:p>
        </w:tc>
        <w:tc>
          <w:tcPr>
            <w:tcW w:w="9715" w:type="dxa"/>
          </w:tcPr>
          <w:p w:rsidR="004A6B0B" w:rsidRPr="004A6B0B" w:rsidRDefault="003560A6" w:rsidP="004A6B0B">
            <w:r>
              <w:t>These types of contracts</w:t>
            </w:r>
            <w:r w:rsidR="004A6B0B">
              <w:t xml:space="preserve"> typically contain </w:t>
            </w:r>
            <w:r w:rsidR="004A6B0B" w:rsidRPr="004A6B0B">
              <w:rPr>
                <w:u w:val="single"/>
              </w:rPr>
              <w:t>multiple</w:t>
            </w:r>
            <w:r w:rsidR="004A6B0B">
              <w:t xml:space="preserve"> </w:t>
            </w:r>
            <w:r>
              <w:t xml:space="preserve">documents or agreements </w:t>
            </w:r>
            <w:r w:rsidR="004061E0">
              <w:t xml:space="preserve">which cover different aspects of the product or service. </w:t>
            </w:r>
            <w:r>
              <w:t xml:space="preserve">For example, the details and terms and conditions related to ongoing system maintenance will be covered in a separate support agreement. These documents </w:t>
            </w:r>
            <w:r w:rsidR="004A6B0B">
              <w:t xml:space="preserve">are almost always prepared by the vendor. </w:t>
            </w:r>
            <w:r w:rsidR="00DB1B66">
              <w:t xml:space="preserve">To assist in expediting the process, request </w:t>
            </w:r>
            <w:r w:rsidR="004A6B0B">
              <w:t>all required contract documents from the successful vendor as quickly as possible</w:t>
            </w:r>
            <w:r w:rsidR="00DB1B66">
              <w:t xml:space="preserve">. </w:t>
            </w:r>
          </w:p>
        </w:tc>
      </w:tr>
      <w:tr w:rsidR="00DB1B66" w:rsidRPr="00DA15AE" w:rsidTr="00740EC4">
        <w:tc>
          <w:tcPr>
            <w:tcW w:w="355" w:type="dxa"/>
          </w:tcPr>
          <w:p w:rsidR="00DB1B66" w:rsidRPr="00DA15AE" w:rsidRDefault="00DB1B66" w:rsidP="00DB1B66">
            <w:pPr>
              <w:rPr>
                <w:b/>
              </w:rPr>
            </w:pPr>
          </w:p>
        </w:tc>
        <w:tc>
          <w:tcPr>
            <w:tcW w:w="9715" w:type="dxa"/>
          </w:tcPr>
          <w:p w:rsidR="00DB1B66" w:rsidRPr="004A6B0B" w:rsidRDefault="00DB1B66" w:rsidP="00DB1B66">
            <w:r>
              <w:t xml:space="preserve">Allow ample time for parties involved, including legal, to review all documents in detail. </w:t>
            </w:r>
          </w:p>
        </w:tc>
      </w:tr>
      <w:tr w:rsidR="00DB1B66" w:rsidRPr="00DA15AE" w:rsidTr="00740EC4">
        <w:tc>
          <w:tcPr>
            <w:tcW w:w="355" w:type="dxa"/>
          </w:tcPr>
          <w:p w:rsidR="00DB1B66" w:rsidRPr="00DA15AE" w:rsidRDefault="00DB1B66" w:rsidP="00DB1B66">
            <w:pPr>
              <w:rPr>
                <w:b/>
              </w:rPr>
            </w:pPr>
          </w:p>
        </w:tc>
        <w:tc>
          <w:tcPr>
            <w:tcW w:w="9715" w:type="dxa"/>
          </w:tcPr>
          <w:p w:rsidR="00DB1B66" w:rsidRDefault="00DB1B66" w:rsidP="00DB1B66">
            <w:r>
              <w:t xml:space="preserve">Do not assume anything. When in doubt, clarify.  </w:t>
            </w:r>
          </w:p>
        </w:tc>
      </w:tr>
      <w:tr w:rsidR="00DB1B66" w:rsidRPr="00DA15AE" w:rsidTr="00740EC4">
        <w:tc>
          <w:tcPr>
            <w:tcW w:w="355" w:type="dxa"/>
          </w:tcPr>
          <w:p w:rsidR="00DB1B66" w:rsidRPr="00DA15AE" w:rsidRDefault="00DB1B66" w:rsidP="00DB1B66">
            <w:pPr>
              <w:rPr>
                <w:b/>
              </w:rPr>
            </w:pPr>
          </w:p>
        </w:tc>
        <w:tc>
          <w:tcPr>
            <w:tcW w:w="9715" w:type="dxa"/>
          </w:tcPr>
          <w:p w:rsidR="00DB1B66" w:rsidRPr="004A6B0B" w:rsidRDefault="00DB1B66" w:rsidP="00DB1B66">
            <w:r>
              <w:t xml:space="preserve">Vague contract documents will lead to increased risk for the </w:t>
            </w:r>
            <w:r w:rsidR="004061E0">
              <w:t>court</w:t>
            </w:r>
            <w:r>
              <w:t xml:space="preserve">, including but not limited to scope creep, unwarranted change orders, increased costs and </w:t>
            </w:r>
            <w:r w:rsidR="002E7488">
              <w:t xml:space="preserve">project </w:t>
            </w:r>
            <w:r w:rsidR="003560A6">
              <w:t>delay</w:t>
            </w:r>
            <w:r w:rsidR="002E7488">
              <w:t>s</w:t>
            </w:r>
            <w:r>
              <w:t xml:space="preserve">. </w:t>
            </w:r>
          </w:p>
        </w:tc>
      </w:tr>
      <w:tr w:rsidR="00DB1B66" w:rsidRPr="00DA15AE" w:rsidTr="00740EC4">
        <w:tc>
          <w:tcPr>
            <w:tcW w:w="355" w:type="dxa"/>
          </w:tcPr>
          <w:p w:rsidR="00DB1B66" w:rsidRPr="00DA15AE" w:rsidRDefault="00DB1B66" w:rsidP="00DB1B66">
            <w:pPr>
              <w:rPr>
                <w:b/>
              </w:rPr>
            </w:pPr>
          </w:p>
        </w:tc>
        <w:tc>
          <w:tcPr>
            <w:tcW w:w="9715" w:type="dxa"/>
          </w:tcPr>
          <w:p w:rsidR="00DB1B66" w:rsidRDefault="00DB1B66" w:rsidP="00DB1B66">
            <w:r>
              <w:t xml:space="preserve">The contract should be drafted in a manner in which any </w:t>
            </w:r>
            <w:r w:rsidR="003560A6">
              <w:t>person</w:t>
            </w:r>
            <w:r>
              <w:t xml:space="preserve">, </w:t>
            </w:r>
            <w:r w:rsidR="00B11D53">
              <w:t>regardless of their kno</w:t>
            </w:r>
            <w:r w:rsidR="00A90E80">
              <w:t>w</w:t>
            </w:r>
            <w:r w:rsidR="00B11D53">
              <w:t xml:space="preserve">ledge level of the project, </w:t>
            </w:r>
            <w:r w:rsidR="00A90E80">
              <w:t xml:space="preserve">can gain a thorough understanding of the intent, terms, </w:t>
            </w:r>
            <w:r w:rsidR="007156E0">
              <w:t xml:space="preserve">and </w:t>
            </w:r>
            <w:r w:rsidR="00A90E80">
              <w:t xml:space="preserve">responsibilities and expectations of the parties.  </w:t>
            </w:r>
          </w:p>
        </w:tc>
      </w:tr>
      <w:tr w:rsidR="00DB1B66" w:rsidRPr="00DA15AE" w:rsidTr="00740EC4">
        <w:tc>
          <w:tcPr>
            <w:tcW w:w="355" w:type="dxa"/>
          </w:tcPr>
          <w:p w:rsidR="00DB1B66" w:rsidRPr="00DA15AE" w:rsidRDefault="00DB1B66" w:rsidP="00DB1B66">
            <w:pPr>
              <w:rPr>
                <w:b/>
              </w:rPr>
            </w:pPr>
          </w:p>
        </w:tc>
        <w:tc>
          <w:tcPr>
            <w:tcW w:w="9715" w:type="dxa"/>
          </w:tcPr>
          <w:p w:rsidR="00DB1B66" w:rsidRPr="004A6B0B" w:rsidRDefault="00A90E80" w:rsidP="00DB1B66">
            <w:r>
              <w:t>It</w:t>
            </w:r>
            <w:r w:rsidR="00DB1B66">
              <w:t xml:space="preserve"> is imperative to remember, if it </w:t>
            </w:r>
            <w:r w:rsidR="00B11D53">
              <w:t xml:space="preserve">is not identified </w:t>
            </w:r>
            <w:r w:rsidR="00DB1B66">
              <w:t xml:space="preserve">in the contract, or incorporated by reference in the contract, </w:t>
            </w:r>
            <w:r w:rsidR="00DB1B66" w:rsidRPr="00B11D53">
              <w:rPr>
                <w:u w:val="single"/>
              </w:rPr>
              <w:t>it does not exist</w:t>
            </w:r>
            <w:r w:rsidR="00B11D53">
              <w:rPr>
                <w:u w:val="single"/>
              </w:rPr>
              <w:t>.</w:t>
            </w:r>
            <w:r w:rsidR="002E7488">
              <w:rPr>
                <w:u w:val="single"/>
              </w:rPr>
              <w:t xml:space="preserve"> This is why assumptions should always be confirmed by the contract documents.</w:t>
            </w:r>
            <w:r w:rsidR="00B11D53">
              <w:rPr>
                <w:u w:val="single"/>
              </w:rPr>
              <w:t xml:space="preserve"> </w:t>
            </w:r>
          </w:p>
        </w:tc>
      </w:tr>
    </w:tbl>
    <w:p w:rsidR="00473204" w:rsidRDefault="00473204" w:rsidP="00A765CF">
      <w:pPr>
        <w:rPr>
          <w:b/>
          <w:u w:val="single"/>
        </w:rPr>
      </w:pPr>
    </w:p>
    <w:p w:rsidR="000E2E28" w:rsidRPr="000E2E28" w:rsidRDefault="00626370" w:rsidP="00A765CF">
      <w:pPr>
        <w:rPr>
          <w:b/>
          <w:u w:val="single"/>
        </w:rPr>
      </w:pPr>
      <w:r>
        <w:rPr>
          <w:b/>
          <w:u w:val="single"/>
        </w:rPr>
        <w:t xml:space="preserve">Developing the </w:t>
      </w:r>
      <w:r w:rsidR="007F7442">
        <w:rPr>
          <w:b/>
          <w:u w:val="single"/>
        </w:rPr>
        <w:t>C</w:t>
      </w:r>
      <w:r>
        <w:rPr>
          <w:b/>
          <w:u w:val="single"/>
        </w:rPr>
        <w:t xml:space="preserve">ontract </w:t>
      </w:r>
      <w:r w:rsidR="007F7442">
        <w:rPr>
          <w:b/>
          <w:u w:val="single"/>
        </w:rPr>
        <w:t>P</w:t>
      </w:r>
      <w:r>
        <w:rPr>
          <w:b/>
          <w:u w:val="single"/>
        </w:rPr>
        <w:t xml:space="preserve">ackage </w:t>
      </w:r>
    </w:p>
    <w:p w:rsidR="000E2E28" w:rsidRDefault="00A90E80" w:rsidP="000E2E28">
      <w:r>
        <w:t xml:space="preserve">The executed contract shall include all agreements and supplemental documentation required for the successful completion of </w:t>
      </w:r>
      <w:r w:rsidR="007156E0">
        <w:t xml:space="preserve">the </w:t>
      </w:r>
      <w:r>
        <w:t xml:space="preserve">project and beyond. Contracts for technical solutions typically contain numerous documents, which include: </w:t>
      </w:r>
    </w:p>
    <w:p w:rsidR="00A90E80" w:rsidRDefault="007A1921" w:rsidP="00A90E80">
      <w:pPr>
        <w:pStyle w:val="ListParagraph"/>
        <w:numPr>
          <w:ilvl w:val="0"/>
          <w:numId w:val="10"/>
        </w:numPr>
      </w:pPr>
      <w:r>
        <w:t xml:space="preserve">Contract for </w:t>
      </w:r>
      <w:r w:rsidR="00A90E80">
        <w:t xml:space="preserve">Professional Services </w:t>
      </w:r>
    </w:p>
    <w:p w:rsidR="00A90E80" w:rsidRDefault="00A90E80" w:rsidP="00A90E80">
      <w:pPr>
        <w:pStyle w:val="ListParagraph"/>
        <w:numPr>
          <w:ilvl w:val="0"/>
          <w:numId w:val="10"/>
        </w:numPr>
      </w:pPr>
      <w:r>
        <w:t>Statement of Work (“SOW”)</w:t>
      </w:r>
    </w:p>
    <w:p w:rsidR="00A90E80" w:rsidRDefault="00A90E80" w:rsidP="00A90E80">
      <w:pPr>
        <w:pStyle w:val="ListParagraph"/>
        <w:numPr>
          <w:ilvl w:val="0"/>
          <w:numId w:val="10"/>
        </w:numPr>
      </w:pPr>
      <w:r>
        <w:t>Software License Agreement (“SLA”)</w:t>
      </w:r>
    </w:p>
    <w:p w:rsidR="00A90E80" w:rsidRDefault="00A90E80" w:rsidP="00A90E80">
      <w:pPr>
        <w:pStyle w:val="ListParagraph"/>
        <w:numPr>
          <w:ilvl w:val="0"/>
          <w:numId w:val="10"/>
        </w:numPr>
      </w:pPr>
      <w:r>
        <w:t>Software Support (Maintenance) Agreement (“SSA”)</w:t>
      </w:r>
    </w:p>
    <w:p w:rsidR="00A1619F" w:rsidRDefault="00A1619F" w:rsidP="00A1619F">
      <w:r>
        <w:t>The remainder of the document contains additional helpful hints, key considerations, and other items to be mindful of when reviewing, negotiating, and finalizing a contract of this magnitude.</w:t>
      </w:r>
    </w:p>
    <w:p w:rsidR="00A90E80" w:rsidRDefault="00A90E80" w:rsidP="000E2E28"/>
    <w:p w:rsidR="00473204" w:rsidRDefault="00473204" w:rsidP="000E2E28"/>
    <w:tbl>
      <w:tblPr>
        <w:tblStyle w:val="TableGrid"/>
        <w:tblW w:w="0" w:type="auto"/>
        <w:tblLook w:val="04A0" w:firstRow="1" w:lastRow="0" w:firstColumn="1" w:lastColumn="0" w:noHBand="0" w:noVBand="1"/>
      </w:tblPr>
      <w:tblGrid>
        <w:gridCol w:w="355"/>
        <w:gridCol w:w="9715"/>
      </w:tblGrid>
      <w:tr w:rsidR="007A1921" w:rsidTr="007A1921">
        <w:tc>
          <w:tcPr>
            <w:tcW w:w="10070" w:type="dxa"/>
            <w:gridSpan w:val="2"/>
            <w:shd w:val="clear" w:color="auto" w:fill="E7E6E6" w:themeFill="background2"/>
          </w:tcPr>
          <w:p w:rsidR="007A1921" w:rsidRDefault="007A1921" w:rsidP="000E2E28">
            <w:r w:rsidRPr="007A1921">
              <w:rPr>
                <w:b/>
              </w:rPr>
              <w:t>Contract for Professional Services</w:t>
            </w:r>
          </w:p>
        </w:tc>
      </w:tr>
      <w:tr w:rsidR="007A1921" w:rsidTr="00043CBB">
        <w:tc>
          <w:tcPr>
            <w:tcW w:w="10070" w:type="dxa"/>
            <w:gridSpan w:val="2"/>
          </w:tcPr>
          <w:p w:rsidR="007A1921" w:rsidRDefault="007A1921" w:rsidP="004061E0">
            <w:r>
              <w:t xml:space="preserve">This document </w:t>
            </w:r>
            <w:r w:rsidR="00545B0F">
              <w:t>includes</w:t>
            </w:r>
            <w:r>
              <w:t xml:space="preserve"> a high-level summary </w:t>
            </w:r>
            <w:r w:rsidR="004061E0">
              <w:t xml:space="preserve">specific to </w:t>
            </w:r>
            <w:r w:rsidR="007156E0">
              <w:t xml:space="preserve">the </w:t>
            </w:r>
            <w:r>
              <w:t>services to be completed</w:t>
            </w:r>
            <w:r w:rsidR="009B55E1">
              <w:t xml:space="preserve"> and </w:t>
            </w:r>
            <w:r>
              <w:t xml:space="preserve">identifies </w:t>
            </w:r>
            <w:r w:rsidR="009B55E1">
              <w:t xml:space="preserve">other </w:t>
            </w:r>
            <w:r>
              <w:t xml:space="preserve">documents or agreements </w:t>
            </w:r>
            <w:r w:rsidR="009B55E1">
              <w:t xml:space="preserve">that </w:t>
            </w:r>
            <w:r>
              <w:t>are included</w:t>
            </w:r>
            <w:r w:rsidR="007156E0">
              <w:t>,</w:t>
            </w:r>
            <w:r>
              <w:t xml:space="preserve"> </w:t>
            </w:r>
            <w:r w:rsidR="009B55E1">
              <w:t xml:space="preserve">or </w:t>
            </w:r>
            <w:r w:rsidR="007156E0">
              <w:t xml:space="preserve">incorporated by </w:t>
            </w:r>
            <w:r w:rsidR="009B55E1">
              <w:t>referenc</w:t>
            </w:r>
            <w:r w:rsidR="007156E0">
              <w:t xml:space="preserve">e in </w:t>
            </w:r>
            <w:r>
              <w:t xml:space="preserve">the contract. </w:t>
            </w:r>
            <w:r w:rsidR="00B11D53">
              <w:t xml:space="preserve">Further, it includes </w:t>
            </w:r>
            <w:r>
              <w:t xml:space="preserve">the </w:t>
            </w:r>
            <w:r w:rsidR="004061E0">
              <w:t>court</w:t>
            </w:r>
            <w:r>
              <w:t xml:space="preserve">’s general contact terms and conditions, including but not limited to contract term, compensation, payment terms, termination clauses, governing law, and </w:t>
            </w:r>
            <w:r w:rsidR="004061E0">
              <w:t>court</w:t>
            </w:r>
            <w:r>
              <w:t xml:space="preserve"> specific policies. In addition, the RFP, including any subsequent addendums, the vendors proposal response, and any vendor supplemental terms and conditions accepted by the </w:t>
            </w:r>
            <w:r w:rsidR="004061E0">
              <w:t>court</w:t>
            </w:r>
            <w:r>
              <w:t xml:space="preserve"> should be included as exhibits.</w:t>
            </w:r>
          </w:p>
        </w:tc>
      </w:tr>
      <w:tr w:rsidR="007A1921" w:rsidTr="007A1921">
        <w:tc>
          <w:tcPr>
            <w:tcW w:w="10070" w:type="dxa"/>
            <w:gridSpan w:val="2"/>
            <w:shd w:val="clear" w:color="auto" w:fill="E7E6E6" w:themeFill="background2"/>
          </w:tcPr>
          <w:p w:rsidR="007A1921" w:rsidRPr="005A14E3" w:rsidRDefault="005A14E3" w:rsidP="000E2E28">
            <w:pPr>
              <w:rPr>
                <w:b/>
              </w:rPr>
            </w:pPr>
            <w:r w:rsidRPr="005A14E3">
              <w:rPr>
                <w:b/>
              </w:rPr>
              <w:t>Key Considerations</w:t>
            </w:r>
          </w:p>
        </w:tc>
      </w:tr>
      <w:tr w:rsidR="005A14E3" w:rsidTr="00D97A64">
        <w:tc>
          <w:tcPr>
            <w:tcW w:w="355" w:type="dxa"/>
          </w:tcPr>
          <w:p w:rsidR="005A14E3" w:rsidRDefault="005A14E3" w:rsidP="005A14E3"/>
        </w:tc>
        <w:tc>
          <w:tcPr>
            <w:tcW w:w="9715" w:type="dxa"/>
          </w:tcPr>
          <w:p w:rsidR="005A14E3" w:rsidRDefault="00FA6D33" w:rsidP="00C0705B">
            <w:pPr>
              <w:jc w:val="both"/>
            </w:pPr>
            <w:r>
              <w:t>All c</w:t>
            </w:r>
            <w:r w:rsidR="005A14E3">
              <w:t xml:space="preserve">osts for </w:t>
            </w:r>
            <w:r>
              <w:t xml:space="preserve">professional </w:t>
            </w:r>
            <w:r w:rsidR="005A14E3">
              <w:t>services</w:t>
            </w:r>
            <w:r w:rsidR="005F1193">
              <w:t xml:space="preserve"> </w:t>
            </w:r>
            <w:r w:rsidR="005A14E3">
              <w:t xml:space="preserve">as identified in the SOW should be </w:t>
            </w:r>
            <w:r w:rsidR="00B11D53">
              <w:t>provided</w:t>
            </w:r>
            <w:r w:rsidR="00D37D0A">
              <w:t xml:space="preserve"> </w:t>
            </w:r>
            <w:r w:rsidR="00B11D53">
              <w:t>at</w:t>
            </w:r>
            <w:r w:rsidR="00D37D0A">
              <w:t xml:space="preserve"> </w:t>
            </w:r>
            <w:r w:rsidR="005A14E3">
              <w:t xml:space="preserve">a </w:t>
            </w:r>
            <w:r w:rsidR="005A14E3" w:rsidRPr="00D37D0A">
              <w:rPr>
                <w:u w:val="single"/>
              </w:rPr>
              <w:t>firm fixed price</w:t>
            </w:r>
            <w:r w:rsidR="005F1193">
              <w:t xml:space="preserve">. </w:t>
            </w:r>
            <w:r w:rsidR="00B11D53">
              <w:t>Additional items or services</w:t>
            </w:r>
            <w:r w:rsidR="009B55E1">
              <w:t xml:space="preserve"> that may be </w:t>
            </w:r>
            <w:r w:rsidR="00B11D53">
              <w:t>required, should also be identified at a firm fixed price</w:t>
            </w:r>
            <w:r w:rsidR="009B55E1">
              <w:t xml:space="preserve"> (e.g. hourly rates for “out of scope” work)</w:t>
            </w:r>
            <w:r w:rsidR="00B11D53">
              <w:t xml:space="preserve">. </w:t>
            </w:r>
            <w:r w:rsidR="00124AC5">
              <w:t>Do not leave anything related to cost ambiguous</w:t>
            </w:r>
            <w:r w:rsidR="004061E0">
              <w:t>, and</w:t>
            </w:r>
            <w:r w:rsidR="00124AC5">
              <w:t xml:space="preserve"> </w:t>
            </w:r>
            <w:r w:rsidR="004061E0">
              <w:t>a</w:t>
            </w:r>
            <w:r w:rsidR="00124AC5">
              <w:t xml:space="preserve">void language which states the </w:t>
            </w:r>
            <w:r w:rsidR="004061E0">
              <w:t>court</w:t>
            </w:r>
            <w:r w:rsidR="00124AC5">
              <w:t xml:space="preserve"> will pay </w:t>
            </w:r>
            <w:r w:rsidR="00124AC5" w:rsidRPr="008B54B9">
              <w:t>“reasonable”</w:t>
            </w:r>
            <w:r w:rsidR="00124AC5">
              <w:t xml:space="preserve"> </w:t>
            </w:r>
            <w:r w:rsidR="00B11D53">
              <w:t xml:space="preserve">costs </w:t>
            </w:r>
            <w:r w:rsidR="00124AC5">
              <w:t xml:space="preserve">for anything. </w:t>
            </w:r>
          </w:p>
        </w:tc>
      </w:tr>
      <w:tr w:rsidR="00D37D0A" w:rsidTr="00D97A64">
        <w:tc>
          <w:tcPr>
            <w:tcW w:w="355" w:type="dxa"/>
          </w:tcPr>
          <w:p w:rsidR="00D37D0A" w:rsidRDefault="00D37D0A" w:rsidP="005A14E3"/>
        </w:tc>
        <w:tc>
          <w:tcPr>
            <w:tcW w:w="9715" w:type="dxa"/>
          </w:tcPr>
          <w:p w:rsidR="00D37D0A" w:rsidRDefault="00B11D53" w:rsidP="00C0705B">
            <w:pPr>
              <w:jc w:val="both"/>
            </w:pPr>
            <w:r>
              <w:t xml:space="preserve">Consider negotiating </w:t>
            </w:r>
            <w:r w:rsidR="00D37D0A">
              <w:t xml:space="preserve">a fixed </w:t>
            </w:r>
            <w:r w:rsidR="00124AC5">
              <w:t xml:space="preserve">blended </w:t>
            </w:r>
            <w:r w:rsidR="00D37D0A">
              <w:t xml:space="preserve">hourly rate for “out of scope” professional services. </w:t>
            </w:r>
          </w:p>
        </w:tc>
      </w:tr>
      <w:tr w:rsidR="002D2CFE" w:rsidTr="00D97A64">
        <w:tc>
          <w:tcPr>
            <w:tcW w:w="355" w:type="dxa"/>
          </w:tcPr>
          <w:p w:rsidR="002D2CFE" w:rsidRDefault="002D2CFE" w:rsidP="005A14E3"/>
        </w:tc>
        <w:tc>
          <w:tcPr>
            <w:tcW w:w="9715" w:type="dxa"/>
          </w:tcPr>
          <w:p w:rsidR="002D2CFE" w:rsidRDefault="002D2CFE" w:rsidP="00C0705B">
            <w:pPr>
              <w:jc w:val="both"/>
            </w:pPr>
            <w:r>
              <w:t xml:space="preserve">Milestone payments tied to specified deliverables </w:t>
            </w:r>
            <w:r w:rsidR="00B11D53">
              <w:t xml:space="preserve">should </w:t>
            </w:r>
            <w:r>
              <w:t xml:space="preserve">be established with payment occurring only after the </w:t>
            </w:r>
            <w:r w:rsidR="004061E0">
              <w:t>court</w:t>
            </w:r>
            <w:r>
              <w:t xml:space="preserve"> has determined the deliverable </w:t>
            </w:r>
            <w:r w:rsidR="00124AC5">
              <w:t>to be</w:t>
            </w:r>
            <w:r w:rsidR="00200120">
              <w:t xml:space="preserve"> accepted</w:t>
            </w:r>
            <w:r w:rsidR="004061E0">
              <w:t xml:space="preserve">. </w:t>
            </w:r>
            <w:r w:rsidR="00140E20">
              <w:t>Although initial product license payments</w:t>
            </w:r>
            <w:r w:rsidR="007156E0">
              <w:t xml:space="preserve"> are typically paid up front, payments</w:t>
            </w:r>
            <w:r>
              <w:t xml:space="preserve"> related to professional services </w:t>
            </w:r>
            <w:r w:rsidR="00140E20">
              <w:t xml:space="preserve">should </w:t>
            </w:r>
            <w:r w:rsidRPr="002D2CFE">
              <w:rPr>
                <w:u w:val="single"/>
              </w:rPr>
              <w:t>not</w:t>
            </w:r>
            <w:r>
              <w:t xml:space="preserve"> be made in advance. </w:t>
            </w:r>
          </w:p>
        </w:tc>
      </w:tr>
      <w:tr w:rsidR="005A14E3" w:rsidTr="00D97A64">
        <w:tc>
          <w:tcPr>
            <w:tcW w:w="355" w:type="dxa"/>
          </w:tcPr>
          <w:p w:rsidR="005A14E3" w:rsidRDefault="005A14E3" w:rsidP="005A14E3"/>
        </w:tc>
        <w:tc>
          <w:tcPr>
            <w:tcW w:w="9715" w:type="dxa"/>
          </w:tcPr>
          <w:p w:rsidR="00CF4452" w:rsidRDefault="00B11D53" w:rsidP="00C0705B">
            <w:pPr>
              <w:jc w:val="both"/>
            </w:pPr>
            <w:r>
              <w:t xml:space="preserve">Utilize, whenever possible, the </w:t>
            </w:r>
            <w:r w:rsidR="004061E0">
              <w:t>court</w:t>
            </w:r>
            <w:r>
              <w:t xml:space="preserve">’s defined payment terms. </w:t>
            </w:r>
            <w:r w:rsidR="00CF4452">
              <w:t>I</w:t>
            </w:r>
            <w:r>
              <w:t xml:space="preserve">f this is an item to be negotiated with the vendor, </w:t>
            </w:r>
            <w:r w:rsidR="00CF4452">
              <w:t xml:space="preserve">consider the following: </w:t>
            </w:r>
          </w:p>
          <w:p w:rsidR="00CF4452" w:rsidRDefault="00CF4452" w:rsidP="001768D0">
            <w:pPr>
              <w:pStyle w:val="ListParagraph"/>
              <w:numPr>
                <w:ilvl w:val="0"/>
                <w:numId w:val="16"/>
              </w:numPr>
              <w:jc w:val="both"/>
            </w:pPr>
            <w:r>
              <w:t>Are they reasonable?</w:t>
            </w:r>
          </w:p>
          <w:p w:rsidR="00CF4452" w:rsidRDefault="00CF4452" w:rsidP="001768D0">
            <w:pPr>
              <w:pStyle w:val="ListParagraph"/>
              <w:numPr>
                <w:ilvl w:val="0"/>
                <w:numId w:val="16"/>
              </w:numPr>
              <w:jc w:val="both"/>
            </w:pPr>
            <w:r>
              <w:t>Are they in accordance with your entities polic</w:t>
            </w:r>
            <w:r w:rsidR="00140E20">
              <w:t>ie</w:t>
            </w:r>
            <w:r>
              <w:t>s?</w:t>
            </w:r>
          </w:p>
          <w:p w:rsidR="005A14E3" w:rsidRDefault="00CF4452" w:rsidP="001768D0">
            <w:pPr>
              <w:pStyle w:val="ListParagraph"/>
              <w:numPr>
                <w:ilvl w:val="0"/>
                <w:numId w:val="16"/>
              </w:numPr>
              <w:jc w:val="both"/>
            </w:pPr>
            <w:r>
              <w:t xml:space="preserve">Do they include interest payments and taxes? </w:t>
            </w:r>
          </w:p>
        </w:tc>
      </w:tr>
      <w:tr w:rsidR="00D37D0A" w:rsidTr="00D97A64">
        <w:tc>
          <w:tcPr>
            <w:tcW w:w="355" w:type="dxa"/>
          </w:tcPr>
          <w:p w:rsidR="00D37D0A" w:rsidRPr="00B0463E" w:rsidRDefault="00D37D0A" w:rsidP="005A14E3"/>
        </w:tc>
        <w:tc>
          <w:tcPr>
            <w:tcW w:w="9715" w:type="dxa"/>
          </w:tcPr>
          <w:p w:rsidR="00D37D0A" w:rsidRPr="00B0463E" w:rsidRDefault="00124AC5" w:rsidP="00C0705B">
            <w:pPr>
              <w:jc w:val="both"/>
            </w:pPr>
            <w:r w:rsidRPr="00B0463E">
              <w:t xml:space="preserve">Is there a need for subcontractors? </w:t>
            </w:r>
            <w:r w:rsidR="002F45B8" w:rsidRPr="00B0463E">
              <w:t xml:space="preserve"> If so, the vendor should disclose that fact, and identify any subcontractor(s) it reasonably expects to use on the project.  </w:t>
            </w:r>
          </w:p>
        </w:tc>
      </w:tr>
      <w:tr w:rsidR="002D2CFE" w:rsidTr="00D97A64">
        <w:tc>
          <w:tcPr>
            <w:tcW w:w="355" w:type="dxa"/>
          </w:tcPr>
          <w:p w:rsidR="002D2CFE" w:rsidRDefault="002D2CFE" w:rsidP="005A14E3"/>
        </w:tc>
        <w:tc>
          <w:tcPr>
            <w:tcW w:w="9715" w:type="dxa"/>
          </w:tcPr>
          <w:p w:rsidR="002D2CFE" w:rsidRDefault="002D2CFE" w:rsidP="00C0705B">
            <w:pPr>
              <w:jc w:val="both"/>
            </w:pPr>
            <w:r>
              <w:t xml:space="preserve">How are modifications </w:t>
            </w:r>
            <w:r w:rsidR="001100D5">
              <w:t xml:space="preserve">or change orders </w:t>
            </w:r>
            <w:r>
              <w:t xml:space="preserve">handled? </w:t>
            </w:r>
            <w:r w:rsidR="00140E20">
              <w:t>Who needs to be included in the approval process?</w:t>
            </w:r>
          </w:p>
        </w:tc>
      </w:tr>
      <w:tr w:rsidR="002D2CFE" w:rsidTr="00D97A64">
        <w:tc>
          <w:tcPr>
            <w:tcW w:w="355" w:type="dxa"/>
          </w:tcPr>
          <w:p w:rsidR="002D2CFE" w:rsidRDefault="002D2CFE" w:rsidP="005A14E3"/>
        </w:tc>
        <w:tc>
          <w:tcPr>
            <w:tcW w:w="9715" w:type="dxa"/>
          </w:tcPr>
          <w:p w:rsidR="002D2CFE" w:rsidRDefault="00D37D0A" w:rsidP="00C0705B">
            <w:pPr>
              <w:jc w:val="both"/>
            </w:pPr>
            <w:r>
              <w:t>Be mindful and review carefully</w:t>
            </w:r>
            <w:r w:rsidR="002D2CFE">
              <w:t xml:space="preserve"> </w:t>
            </w:r>
            <w:r w:rsidR="00F42EF8">
              <w:t xml:space="preserve">any </w:t>
            </w:r>
            <w:r w:rsidR="002D2CFE">
              <w:t xml:space="preserve">terms related to indemnification, limitation of </w:t>
            </w:r>
            <w:r>
              <w:t>liability</w:t>
            </w:r>
            <w:r w:rsidR="002D2CFE">
              <w:t xml:space="preserve">, </w:t>
            </w:r>
            <w:r>
              <w:t xml:space="preserve">data ownership, and disputes, as these are </w:t>
            </w:r>
            <w:r w:rsidR="001100D5">
              <w:t>key items</w:t>
            </w:r>
            <w:r>
              <w:t xml:space="preserve"> which </w:t>
            </w:r>
            <w:r w:rsidR="001100D5">
              <w:t xml:space="preserve">bring </w:t>
            </w:r>
            <w:r>
              <w:t xml:space="preserve">risk to the </w:t>
            </w:r>
            <w:r w:rsidR="004061E0">
              <w:t>court</w:t>
            </w:r>
            <w:r>
              <w:t xml:space="preserve">. </w:t>
            </w:r>
          </w:p>
        </w:tc>
      </w:tr>
      <w:tr w:rsidR="005A14E3" w:rsidTr="00D97A64">
        <w:tc>
          <w:tcPr>
            <w:tcW w:w="355" w:type="dxa"/>
          </w:tcPr>
          <w:p w:rsidR="005A14E3" w:rsidRDefault="005A14E3" w:rsidP="005A14E3"/>
        </w:tc>
        <w:tc>
          <w:tcPr>
            <w:tcW w:w="9715" w:type="dxa"/>
          </w:tcPr>
          <w:p w:rsidR="005A14E3" w:rsidRDefault="00140E20" w:rsidP="00C0705B">
            <w:pPr>
              <w:jc w:val="both"/>
            </w:pPr>
            <w:r>
              <w:t xml:space="preserve">Upon </w:t>
            </w:r>
            <w:r w:rsidR="000A3454">
              <w:t>what grounds can the contract be terminate</w:t>
            </w:r>
            <w:r w:rsidR="001100D5">
              <w:t xml:space="preserve">d and by who? </w:t>
            </w:r>
            <w:r w:rsidR="005F1193">
              <w:t xml:space="preserve">Termination language </w:t>
            </w:r>
            <w:r w:rsidR="001100D5">
              <w:t xml:space="preserve">which mitigates risk to the </w:t>
            </w:r>
            <w:r w:rsidR="004061E0">
              <w:t>court</w:t>
            </w:r>
            <w:r w:rsidR="001100D5">
              <w:t xml:space="preserve"> </w:t>
            </w:r>
            <w:r w:rsidR="005F1193">
              <w:t xml:space="preserve">should </w:t>
            </w:r>
            <w:r w:rsidR="001100D5">
              <w:t xml:space="preserve">always </w:t>
            </w:r>
            <w:r w:rsidR="005F1193">
              <w:t>be included. Potential options</w:t>
            </w:r>
            <w:r w:rsidR="001100D5">
              <w:t xml:space="preserve"> include </w:t>
            </w:r>
            <w:r w:rsidR="005F1193">
              <w:t>default</w:t>
            </w:r>
            <w:r w:rsidR="001100D5">
              <w:t>, failure to perform</w:t>
            </w:r>
            <w:r w:rsidR="005F1193">
              <w:t>, financial insolvency of vendor,</w:t>
            </w:r>
            <w:r w:rsidR="002D2CFE">
              <w:t xml:space="preserve"> </w:t>
            </w:r>
            <w:r w:rsidR="001100D5">
              <w:t xml:space="preserve">and </w:t>
            </w:r>
            <w:r w:rsidR="002D2CFE">
              <w:t xml:space="preserve">loss of allocated </w:t>
            </w:r>
            <w:r>
              <w:t xml:space="preserve">budget </w:t>
            </w:r>
            <w:r w:rsidR="002D2CFE">
              <w:t xml:space="preserve">funds </w:t>
            </w:r>
            <w:r w:rsidR="00D37D0A">
              <w:t>to</w:t>
            </w:r>
            <w:r w:rsidR="002D2CFE">
              <w:t xml:space="preserve"> the </w:t>
            </w:r>
            <w:r w:rsidR="004061E0">
              <w:t>court</w:t>
            </w:r>
            <w:r w:rsidR="001100D5">
              <w:t xml:space="preserve">. </w:t>
            </w:r>
            <w:r w:rsidR="005F1193">
              <w:t xml:space="preserve"> </w:t>
            </w:r>
          </w:p>
        </w:tc>
      </w:tr>
      <w:tr w:rsidR="000A3454" w:rsidTr="00D97A64">
        <w:tc>
          <w:tcPr>
            <w:tcW w:w="355" w:type="dxa"/>
          </w:tcPr>
          <w:p w:rsidR="000A3454" w:rsidRDefault="000A3454" w:rsidP="005A14E3"/>
        </w:tc>
        <w:tc>
          <w:tcPr>
            <w:tcW w:w="9715" w:type="dxa"/>
          </w:tcPr>
          <w:p w:rsidR="000A3454" w:rsidRDefault="00124AC5" w:rsidP="00C0705B">
            <w:pPr>
              <w:jc w:val="both"/>
            </w:pPr>
            <w:r>
              <w:t xml:space="preserve">When reviewing language related to </w:t>
            </w:r>
            <w:r w:rsidR="00140E20">
              <w:t xml:space="preserve">protection of </w:t>
            </w:r>
            <w:r>
              <w:t xml:space="preserve">trade secrets, consider </w:t>
            </w:r>
            <w:r w:rsidR="001100D5">
              <w:t>what is allowable under Ohio’s S</w:t>
            </w:r>
            <w:r>
              <w:t xml:space="preserve">unshine </w:t>
            </w:r>
            <w:r w:rsidR="001100D5">
              <w:t xml:space="preserve">Laws. </w:t>
            </w:r>
            <w:r>
              <w:t xml:space="preserve"> </w:t>
            </w:r>
          </w:p>
        </w:tc>
      </w:tr>
    </w:tbl>
    <w:p w:rsidR="007A1921" w:rsidRDefault="007A1921" w:rsidP="000E2E28"/>
    <w:tbl>
      <w:tblPr>
        <w:tblStyle w:val="TableGrid"/>
        <w:tblW w:w="0" w:type="auto"/>
        <w:tblLook w:val="04A0" w:firstRow="1" w:lastRow="0" w:firstColumn="1" w:lastColumn="0" w:noHBand="0" w:noVBand="1"/>
      </w:tblPr>
      <w:tblGrid>
        <w:gridCol w:w="355"/>
        <w:gridCol w:w="9715"/>
      </w:tblGrid>
      <w:tr w:rsidR="00D97A64" w:rsidTr="00A41EAD">
        <w:tc>
          <w:tcPr>
            <w:tcW w:w="10070" w:type="dxa"/>
            <w:gridSpan w:val="2"/>
            <w:shd w:val="clear" w:color="auto" w:fill="E7E6E6" w:themeFill="background2"/>
          </w:tcPr>
          <w:p w:rsidR="00D97A64" w:rsidRDefault="00D97A64" w:rsidP="00A41EAD">
            <w:r>
              <w:rPr>
                <w:b/>
              </w:rPr>
              <w:t>Statement of Work (“SOW”)</w:t>
            </w:r>
          </w:p>
        </w:tc>
      </w:tr>
      <w:tr w:rsidR="00D97A64" w:rsidTr="00A41EAD">
        <w:tc>
          <w:tcPr>
            <w:tcW w:w="10070" w:type="dxa"/>
            <w:gridSpan w:val="2"/>
          </w:tcPr>
          <w:p w:rsidR="00D97A64" w:rsidRDefault="00EF56CE" w:rsidP="003410CA">
            <w:pPr>
              <w:jc w:val="both"/>
            </w:pPr>
            <w:r>
              <w:t xml:space="preserve">This document includes </w:t>
            </w:r>
            <w:r w:rsidR="00545B0F">
              <w:t xml:space="preserve">a detailed description of the project tasks and deliverables, as well as the overall project plan and payment schedule. Upon completion, the SOW should </w:t>
            </w:r>
            <w:r w:rsidR="000A7EE8">
              <w:t xml:space="preserve">provide </w:t>
            </w:r>
            <w:r w:rsidR="00545B0F">
              <w:t xml:space="preserve">a roadmap </w:t>
            </w:r>
            <w:r w:rsidR="004061E0">
              <w:t xml:space="preserve">for all parties </w:t>
            </w:r>
            <w:r w:rsidR="00545B0F">
              <w:t xml:space="preserve">to monitor and manage </w:t>
            </w:r>
            <w:r w:rsidR="001100D5">
              <w:t xml:space="preserve">the </w:t>
            </w:r>
            <w:r w:rsidR="00545B0F">
              <w:t>project</w:t>
            </w:r>
            <w:r w:rsidR="001100D5">
              <w:t xml:space="preserve"> </w:t>
            </w:r>
            <w:r w:rsidR="00AD34F8">
              <w:t>schedule</w:t>
            </w:r>
            <w:r w:rsidR="00545B0F">
              <w:t xml:space="preserve">, deliverables, and payments. The SOW is typically drafted by the vendor, but should be reviewed and finalized as a collaborative effort between the vendor and </w:t>
            </w:r>
            <w:r w:rsidR="004061E0">
              <w:t>court</w:t>
            </w:r>
            <w:r w:rsidR="00545B0F">
              <w:t xml:space="preserve">.  </w:t>
            </w:r>
          </w:p>
        </w:tc>
      </w:tr>
      <w:tr w:rsidR="00D97A64" w:rsidTr="00A41EAD">
        <w:tc>
          <w:tcPr>
            <w:tcW w:w="10070" w:type="dxa"/>
            <w:gridSpan w:val="2"/>
            <w:shd w:val="clear" w:color="auto" w:fill="E7E6E6" w:themeFill="background2"/>
          </w:tcPr>
          <w:p w:rsidR="00D97A64" w:rsidRDefault="005A14E3" w:rsidP="00A41EAD">
            <w:r w:rsidRPr="005A14E3">
              <w:rPr>
                <w:b/>
              </w:rPr>
              <w:t>Key Considerations</w:t>
            </w:r>
          </w:p>
        </w:tc>
      </w:tr>
      <w:tr w:rsidR="00D97A64" w:rsidTr="00A41EAD">
        <w:tc>
          <w:tcPr>
            <w:tcW w:w="355" w:type="dxa"/>
          </w:tcPr>
          <w:p w:rsidR="00D97A64" w:rsidRDefault="00D97A64" w:rsidP="00A41EAD"/>
        </w:tc>
        <w:tc>
          <w:tcPr>
            <w:tcW w:w="9715" w:type="dxa"/>
          </w:tcPr>
          <w:p w:rsidR="00D97A64" w:rsidRDefault="000A3454" w:rsidP="003410CA">
            <w:pPr>
              <w:jc w:val="both"/>
            </w:pPr>
            <w:r>
              <w:t xml:space="preserve">Do </w:t>
            </w:r>
            <w:r w:rsidRPr="001768D0">
              <w:t>not</w:t>
            </w:r>
            <w:r>
              <w:t xml:space="preserve"> </w:t>
            </w:r>
            <w:r w:rsidR="000A7EE8">
              <w:t xml:space="preserve">shortcut focusing on </w:t>
            </w:r>
            <w:r>
              <w:t>the details</w:t>
            </w:r>
            <w:r w:rsidR="00124AC5">
              <w:t>.</w:t>
            </w:r>
            <w:r>
              <w:t xml:space="preserve"> </w:t>
            </w:r>
          </w:p>
        </w:tc>
      </w:tr>
      <w:tr w:rsidR="00124AC5" w:rsidTr="00A41EAD">
        <w:tc>
          <w:tcPr>
            <w:tcW w:w="355" w:type="dxa"/>
          </w:tcPr>
          <w:p w:rsidR="00124AC5" w:rsidRDefault="00124AC5" w:rsidP="00A41EAD"/>
        </w:tc>
        <w:tc>
          <w:tcPr>
            <w:tcW w:w="9715" w:type="dxa"/>
          </w:tcPr>
          <w:p w:rsidR="00124AC5" w:rsidRDefault="005C0C81" w:rsidP="003410CA">
            <w:pPr>
              <w:jc w:val="both"/>
            </w:pPr>
            <w:r>
              <w:t>I</w:t>
            </w:r>
            <w:r w:rsidR="00124AC5">
              <w:t xml:space="preserve">nclude a </w:t>
            </w:r>
            <w:r>
              <w:t>project schedule and detailed</w:t>
            </w:r>
            <w:r w:rsidR="00124AC5">
              <w:t xml:space="preserve"> description of all tasks and deliverables for all phases of the project</w:t>
            </w:r>
            <w:r>
              <w:t>,</w:t>
            </w:r>
            <w:r w:rsidR="00124AC5">
              <w:t xml:space="preserve"> </w:t>
            </w:r>
            <w:r>
              <w:t>i</w:t>
            </w:r>
            <w:r w:rsidR="00124AC5">
              <w:t xml:space="preserve">ncluding who is responsible for what. </w:t>
            </w:r>
          </w:p>
        </w:tc>
      </w:tr>
      <w:tr w:rsidR="00124AC5" w:rsidTr="00A41EAD">
        <w:tc>
          <w:tcPr>
            <w:tcW w:w="355" w:type="dxa"/>
          </w:tcPr>
          <w:p w:rsidR="00124AC5" w:rsidRDefault="00124AC5" w:rsidP="00A41EAD"/>
        </w:tc>
        <w:tc>
          <w:tcPr>
            <w:tcW w:w="9715" w:type="dxa"/>
          </w:tcPr>
          <w:p w:rsidR="00124AC5" w:rsidRDefault="005C0C81" w:rsidP="003410CA">
            <w:pPr>
              <w:jc w:val="both"/>
            </w:pPr>
            <w:r>
              <w:t>Identify corresponding milestone payments for deliverables</w:t>
            </w:r>
            <w:r w:rsidR="00124AC5">
              <w:t xml:space="preserve">. </w:t>
            </w:r>
          </w:p>
        </w:tc>
      </w:tr>
      <w:tr w:rsidR="00F208AC" w:rsidTr="00A41EAD">
        <w:tc>
          <w:tcPr>
            <w:tcW w:w="355" w:type="dxa"/>
          </w:tcPr>
          <w:p w:rsidR="00F208AC" w:rsidRDefault="00F208AC" w:rsidP="00A41EAD"/>
        </w:tc>
        <w:tc>
          <w:tcPr>
            <w:tcW w:w="9715" w:type="dxa"/>
          </w:tcPr>
          <w:p w:rsidR="00F208AC" w:rsidRDefault="005C0C81" w:rsidP="003410CA">
            <w:pPr>
              <w:jc w:val="both"/>
            </w:pPr>
            <w:r>
              <w:t xml:space="preserve">How is acceptance </w:t>
            </w:r>
            <w:r w:rsidR="000A7EE8">
              <w:t xml:space="preserve">of work and/or product by the </w:t>
            </w:r>
            <w:r w:rsidR="004061E0">
              <w:t>court</w:t>
            </w:r>
            <w:r w:rsidR="000A7EE8">
              <w:t xml:space="preserve"> </w:t>
            </w:r>
            <w:r>
              <w:t xml:space="preserve">defined? </w:t>
            </w:r>
          </w:p>
        </w:tc>
      </w:tr>
      <w:tr w:rsidR="003326A2" w:rsidTr="00A41EAD">
        <w:tc>
          <w:tcPr>
            <w:tcW w:w="355" w:type="dxa"/>
          </w:tcPr>
          <w:p w:rsidR="003326A2" w:rsidRDefault="003326A2" w:rsidP="00A41EAD"/>
        </w:tc>
        <w:tc>
          <w:tcPr>
            <w:tcW w:w="9715" w:type="dxa"/>
          </w:tcPr>
          <w:p w:rsidR="003326A2" w:rsidRDefault="005C0C81" w:rsidP="003410CA">
            <w:pPr>
              <w:jc w:val="both"/>
            </w:pPr>
            <w:r>
              <w:t>Review all assumptions, definitions, and acronyms in detail, ensuring that they are consistent throughout the document. Spell out acronyms at least once.</w:t>
            </w:r>
          </w:p>
        </w:tc>
      </w:tr>
    </w:tbl>
    <w:p w:rsidR="00473204" w:rsidRDefault="00473204" w:rsidP="000E2E28"/>
    <w:tbl>
      <w:tblPr>
        <w:tblStyle w:val="TableGrid"/>
        <w:tblW w:w="0" w:type="auto"/>
        <w:tblLook w:val="04A0" w:firstRow="1" w:lastRow="0" w:firstColumn="1" w:lastColumn="0" w:noHBand="0" w:noVBand="1"/>
      </w:tblPr>
      <w:tblGrid>
        <w:gridCol w:w="355"/>
        <w:gridCol w:w="9715"/>
      </w:tblGrid>
      <w:tr w:rsidR="00D97A64" w:rsidTr="001768D0">
        <w:tc>
          <w:tcPr>
            <w:tcW w:w="10070" w:type="dxa"/>
            <w:gridSpan w:val="2"/>
            <w:shd w:val="clear" w:color="auto" w:fill="E7E6E6" w:themeFill="background2"/>
          </w:tcPr>
          <w:p w:rsidR="00D97A64" w:rsidRDefault="00D97A64" w:rsidP="00A41EAD">
            <w:r>
              <w:rPr>
                <w:b/>
              </w:rPr>
              <w:lastRenderedPageBreak/>
              <w:t>Software License Agreement (“SLA”)</w:t>
            </w:r>
            <w:r w:rsidR="00C44C2D">
              <w:rPr>
                <w:b/>
              </w:rPr>
              <w:t xml:space="preserve"> and Software Support (Maintenance) Agreement (“SSA”)</w:t>
            </w:r>
          </w:p>
        </w:tc>
      </w:tr>
      <w:tr w:rsidR="00D97A64" w:rsidTr="001768D0">
        <w:tc>
          <w:tcPr>
            <w:tcW w:w="10070" w:type="dxa"/>
            <w:gridSpan w:val="2"/>
          </w:tcPr>
          <w:p w:rsidR="00D97A64" w:rsidRDefault="00C83FEB" w:rsidP="003410CA">
            <w:pPr>
              <w:jc w:val="both"/>
            </w:pPr>
            <w:r>
              <w:t xml:space="preserve">The Software License Agreement (“SLA”) </w:t>
            </w:r>
            <w:r w:rsidR="00B83098">
              <w:t xml:space="preserve">includes the license requirements and supplemental terms and conditions for the solution. The SLA is typically drafted by the vendor, but should be reviewed and finalized as a collaborative effort between the vendor and </w:t>
            </w:r>
            <w:r w:rsidR="004061E0">
              <w:t>court</w:t>
            </w:r>
            <w:r w:rsidR="00B83098">
              <w:t xml:space="preserve">.  </w:t>
            </w:r>
          </w:p>
          <w:p w:rsidR="00B422F6" w:rsidRDefault="004061E0" w:rsidP="004061E0">
            <w:pPr>
              <w:tabs>
                <w:tab w:val="left" w:pos="8455"/>
              </w:tabs>
              <w:jc w:val="both"/>
            </w:pPr>
            <w:r>
              <w:tab/>
            </w:r>
          </w:p>
          <w:p w:rsidR="00C83FEB" w:rsidRDefault="004061E0" w:rsidP="003410CA">
            <w:pPr>
              <w:jc w:val="both"/>
            </w:pPr>
            <w:r>
              <w:t>The</w:t>
            </w:r>
            <w:r w:rsidR="00C83FEB">
              <w:t xml:space="preserve"> Software Support (Maintenance) Agreement (“SSA”) includes the maintenances provisions and software support services </w:t>
            </w:r>
            <w:r>
              <w:t>to</w:t>
            </w:r>
            <w:r w:rsidR="00C83FEB">
              <w:t xml:space="preserve"> be provided by the vendor. In general, the maintenance term </w:t>
            </w:r>
            <w:r>
              <w:t xml:space="preserve">will </w:t>
            </w:r>
            <w:r w:rsidR="00C83FEB">
              <w:t xml:space="preserve">begin once the solution has been successfully </w:t>
            </w:r>
            <w:r>
              <w:t>implemented</w:t>
            </w:r>
            <w:r w:rsidR="00C83FEB">
              <w:t xml:space="preserve">. The SLA is typically drafted by the vendor, but should be reviewed and finalized as a collaborative effort between the vendor and </w:t>
            </w:r>
            <w:r>
              <w:t>court</w:t>
            </w:r>
            <w:r w:rsidR="00C83FEB">
              <w:t xml:space="preserve">.  </w:t>
            </w:r>
          </w:p>
        </w:tc>
      </w:tr>
      <w:tr w:rsidR="00D97A64" w:rsidTr="001768D0">
        <w:tc>
          <w:tcPr>
            <w:tcW w:w="10070" w:type="dxa"/>
            <w:gridSpan w:val="2"/>
            <w:shd w:val="clear" w:color="auto" w:fill="E7E6E6" w:themeFill="background2"/>
          </w:tcPr>
          <w:p w:rsidR="00D97A64" w:rsidRDefault="005A14E3" w:rsidP="00A41EAD">
            <w:r w:rsidRPr="005A14E3">
              <w:rPr>
                <w:b/>
              </w:rPr>
              <w:t>Key Considerations</w:t>
            </w:r>
            <w:r w:rsidR="00C83FEB">
              <w:rPr>
                <w:b/>
              </w:rPr>
              <w:t xml:space="preserve"> for both the SLA and SSA</w:t>
            </w:r>
          </w:p>
        </w:tc>
      </w:tr>
      <w:tr w:rsidR="00C83FEB" w:rsidTr="001768D0">
        <w:tc>
          <w:tcPr>
            <w:tcW w:w="355" w:type="dxa"/>
          </w:tcPr>
          <w:p w:rsidR="00C83FEB" w:rsidRDefault="00C83FEB" w:rsidP="001768D0"/>
        </w:tc>
        <w:tc>
          <w:tcPr>
            <w:tcW w:w="9715" w:type="dxa"/>
          </w:tcPr>
          <w:p w:rsidR="00C83FEB" w:rsidRDefault="00C83FEB" w:rsidP="001768D0">
            <w:pPr>
              <w:jc w:val="both"/>
            </w:pPr>
            <w:r>
              <w:t>Review all assumptions, definitions, and acronyms in detail, ensuring that they are consistent throughout the document. Spell out acronyms at least once.</w:t>
            </w:r>
          </w:p>
        </w:tc>
      </w:tr>
      <w:tr w:rsidR="00C83FEB" w:rsidTr="001768D0">
        <w:tc>
          <w:tcPr>
            <w:tcW w:w="355" w:type="dxa"/>
          </w:tcPr>
          <w:p w:rsidR="00C83FEB" w:rsidRDefault="00C83FEB" w:rsidP="001768D0"/>
        </w:tc>
        <w:tc>
          <w:tcPr>
            <w:tcW w:w="9715" w:type="dxa"/>
          </w:tcPr>
          <w:p w:rsidR="00C83FEB" w:rsidRDefault="00C83FEB" w:rsidP="001768D0">
            <w:pPr>
              <w:jc w:val="both"/>
            </w:pPr>
            <w:r>
              <w:t>How long is the initial</w:t>
            </w:r>
            <w:r w:rsidR="000A7EE8">
              <w:t xml:space="preserve"> license and support</w:t>
            </w:r>
            <w:r>
              <w:t xml:space="preserve"> term? How are renewals</w:t>
            </w:r>
            <w:r w:rsidR="000A7EE8">
              <w:t>, additional licenses,</w:t>
            </w:r>
            <w:r>
              <w:t xml:space="preserve"> and subsequent rate increases handled? </w:t>
            </w:r>
            <w:r w:rsidR="000A7EE8">
              <w:t xml:space="preserve">Avoid accepting </w:t>
            </w:r>
            <w:r>
              <w:t xml:space="preserve">language </w:t>
            </w:r>
            <w:r w:rsidR="000A7EE8">
              <w:t xml:space="preserve">stating </w:t>
            </w:r>
            <w:r w:rsidR="007C33D4">
              <w:t>that</w:t>
            </w:r>
            <w:r>
              <w:t xml:space="preserve"> costs will be increased </w:t>
            </w:r>
            <w:r w:rsidR="007C33D4">
              <w:t>annually</w:t>
            </w:r>
            <w:r>
              <w:t xml:space="preserve"> by an unknown amount or percentage. Consider tying rate increases to a cost index, or stating that annual increases shall not exceed </w:t>
            </w:r>
            <w:r w:rsidR="000A7EE8">
              <w:t>X</w:t>
            </w:r>
            <w:r>
              <w:t>%.</w:t>
            </w:r>
          </w:p>
        </w:tc>
      </w:tr>
      <w:tr w:rsidR="001768D0" w:rsidTr="001768D0">
        <w:tc>
          <w:tcPr>
            <w:tcW w:w="355" w:type="dxa"/>
          </w:tcPr>
          <w:p w:rsidR="001768D0" w:rsidRDefault="001768D0" w:rsidP="001768D0"/>
        </w:tc>
        <w:tc>
          <w:tcPr>
            <w:tcW w:w="9715" w:type="dxa"/>
          </w:tcPr>
          <w:p w:rsidR="001768D0" w:rsidRDefault="007C33D4" w:rsidP="001768D0">
            <w:pPr>
              <w:jc w:val="both"/>
            </w:pPr>
            <w:r>
              <w:t xml:space="preserve">Under what </w:t>
            </w:r>
            <w:r w:rsidR="005E58CA">
              <w:t xml:space="preserve">circumstances </w:t>
            </w:r>
            <w:r>
              <w:t>can the agreement be terminated and by who?</w:t>
            </w:r>
          </w:p>
        </w:tc>
      </w:tr>
      <w:tr w:rsidR="007C33D4" w:rsidTr="007C33D4">
        <w:tc>
          <w:tcPr>
            <w:tcW w:w="10070" w:type="dxa"/>
            <w:gridSpan w:val="2"/>
            <w:shd w:val="clear" w:color="auto" w:fill="E7E6E6" w:themeFill="background2"/>
          </w:tcPr>
          <w:p w:rsidR="007C33D4" w:rsidRDefault="007C33D4" w:rsidP="001768D0">
            <w:pPr>
              <w:jc w:val="both"/>
            </w:pPr>
            <w:r>
              <w:rPr>
                <w:b/>
              </w:rPr>
              <w:t>Additional Considerations - Software License Agreement (“SLA”)</w:t>
            </w:r>
          </w:p>
        </w:tc>
      </w:tr>
      <w:tr w:rsidR="001768D0" w:rsidTr="001768D0">
        <w:tc>
          <w:tcPr>
            <w:tcW w:w="355" w:type="dxa"/>
          </w:tcPr>
          <w:p w:rsidR="001768D0" w:rsidRDefault="001768D0" w:rsidP="001768D0"/>
        </w:tc>
        <w:tc>
          <w:tcPr>
            <w:tcW w:w="9715" w:type="dxa"/>
          </w:tcPr>
          <w:p w:rsidR="001768D0" w:rsidRDefault="001768D0" w:rsidP="001768D0">
            <w:pPr>
              <w:jc w:val="both"/>
            </w:pPr>
            <w:r>
              <w:t xml:space="preserve">Is the type, cost, and number of licenses being purchased clearly specified? </w:t>
            </w:r>
          </w:p>
        </w:tc>
      </w:tr>
      <w:tr w:rsidR="001768D0" w:rsidTr="001768D0">
        <w:tc>
          <w:tcPr>
            <w:tcW w:w="355" w:type="dxa"/>
          </w:tcPr>
          <w:p w:rsidR="001768D0" w:rsidRDefault="001768D0" w:rsidP="001768D0"/>
        </w:tc>
        <w:tc>
          <w:tcPr>
            <w:tcW w:w="9715" w:type="dxa"/>
          </w:tcPr>
          <w:p w:rsidR="001768D0" w:rsidRDefault="007C33D4" w:rsidP="001768D0">
            <w:pPr>
              <w:jc w:val="both"/>
            </w:pPr>
            <w:r>
              <w:t>How and when can additional licenses be purchased? Can a fixed fee for future purchases be identified?</w:t>
            </w:r>
          </w:p>
        </w:tc>
      </w:tr>
      <w:tr w:rsidR="001768D0" w:rsidTr="001768D0">
        <w:tc>
          <w:tcPr>
            <w:tcW w:w="355" w:type="dxa"/>
          </w:tcPr>
          <w:p w:rsidR="001768D0" w:rsidRDefault="001768D0" w:rsidP="001768D0"/>
        </w:tc>
        <w:tc>
          <w:tcPr>
            <w:tcW w:w="9715" w:type="dxa"/>
          </w:tcPr>
          <w:p w:rsidR="001768D0" w:rsidRDefault="007C33D4" w:rsidP="001768D0">
            <w:pPr>
              <w:jc w:val="both"/>
            </w:pPr>
            <w:r>
              <w:t>What system modules and software are covered by the licenses? Are third party software modules and included?</w:t>
            </w:r>
          </w:p>
        </w:tc>
      </w:tr>
      <w:tr w:rsidR="007C33D4" w:rsidTr="001768D0">
        <w:tc>
          <w:tcPr>
            <w:tcW w:w="355" w:type="dxa"/>
          </w:tcPr>
          <w:p w:rsidR="007C33D4" w:rsidRDefault="007C33D4" w:rsidP="007C33D4"/>
        </w:tc>
        <w:tc>
          <w:tcPr>
            <w:tcW w:w="9715" w:type="dxa"/>
          </w:tcPr>
          <w:p w:rsidR="007C33D4" w:rsidRDefault="007C33D4" w:rsidP="007C33D4">
            <w:pPr>
              <w:jc w:val="both"/>
            </w:pPr>
            <w:r>
              <w:t xml:space="preserve">License fees are typically paid once the contract has been </w:t>
            </w:r>
            <w:r w:rsidR="000D0EE4">
              <w:t>executed</w:t>
            </w:r>
            <w:r>
              <w:t xml:space="preserve">, then on an annual basis. For the initial purchase, if a large number of licenses are being purchased, consider negotiating the ability to split this payment amount over multiple phases.  </w:t>
            </w:r>
          </w:p>
        </w:tc>
      </w:tr>
      <w:tr w:rsidR="007C33D4" w:rsidTr="007C33D4">
        <w:tc>
          <w:tcPr>
            <w:tcW w:w="10070" w:type="dxa"/>
            <w:gridSpan w:val="2"/>
            <w:shd w:val="clear" w:color="auto" w:fill="E7E6E6" w:themeFill="background2"/>
          </w:tcPr>
          <w:p w:rsidR="007C33D4" w:rsidRDefault="007C33D4" w:rsidP="007C33D4">
            <w:pPr>
              <w:jc w:val="both"/>
            </w:pPr>
            <w:r>
              <w:rPr>
                <w:b/>
              </w:rPr>
              <w:t>Additional Considerations - Software Support (Maintenance) Agreement (“SSA”)</w:t>
            </w:r>
          </w:p>
        </w:tc>
      </w:tr>
      <w:tr w:rsidR="007C33D4" w:rsidTr="001768D0">
        <w:tc>
          <w:tcPr>
            <w:tcW w:w="355" w:type="dxa"/>
          </w:tcPr>
          <w:p w:rsidR="007C33D4" w:rsidRDefault="007C33D4" w:rsidP="007C33D4"/>
        </w:tc>
        <w:tc>
          <w:tcPr>
            <w:tcW w:w="9715" w:type="dxa"/>
          </w:tcPr>
          <w:p w:rsidR="007C33D4" w:rsidRDefault="007C33D4" w:rsidP="007C33D4">
            <w:pPr>
              <w:jc w:val="both"/>
            </w:pPr>
            <w:r>
              <w:t>When does the maintenance period begin?</w:t>
            </w:r>
          </w:p>
        </w:tc>
      </w:tr>
      <w:tr w:rsidR="007C33D4" w:rsidTr="001768D0">
        <w:tc>
          <w:tcPr>
            <w:tcW w:w="355" w:type="dxa"/>
          </w:tcPr>
          <w:p w:rsidR="007C33D4" w:rsidRDefault="007C33D4" w:rsidP="007C33D4"/>
        </w:tc>
        <w:tc>
          <w:tcPr>
            <w:tcW w:w="9715" w:type="dxa"/>
          </w:tcPr>
          <w:p w:rsidR="007C33D4" w:rsidRDefault="007C33D4" w:rsidP="007C33D4">
            <w:pPr>
              <w:jc w:val="both"/>
            </w:pPr>
            <w:r>
              <w:t xml:space="preserve">Is it clearly stated </w:t>
            </w:r>
            <w:r w:rsidRPr="00B8574B">
              <w:rPr>
                <w:u w:val="single"/>
              </w:rPr>
              <w:t>when</w:t>
            </w:r>
            <w:r>
              <w:t xml:space="preserve"> maintenance will be provided? For example, “Support Services will be performed during regular business hours, which are defined as 8:30 a.m. to 5:00 p.m. (Eastern Time), Monday through Friday.”</w:t>
            </w:r>
          </w:p>
        </w:tc>
      </w:tr>
      <w:tr w:rsidR="007C33D4" w:rsidTr="001768D0">
        <w:tc>
          <w:tcPr>
            <w:tcW w:w="355" w:type="dxa"/>
          </w:tcPr>
          <w:p w:rsidR="007C33D4" w:rsidRDefault="007C33D4" w:rsidP="007C33D4"/>
        </w:tc>
        <w:tc>
          <w:tcPr>
            <w:tcW w:w="9715" w:type="dxa"/>
          </w:tcPr>
          <w:p w:rsidR="007C33D4" w:rsidRDefault="007C33D4" w:rsidP="007C33D4">
            <w:pPr>
              <w:jc w:val="both"/>
            </w:pPr>
            <w:r>
              <w:t xml:space="preserve">Are the </w:t>
            </w:r>
            <w:r w:rsidR="00013D1D">
              <w:t xml:space="preserve">annual maintenance costs </w:t>
            </w:r>
            <w:r w:rsidR="005E58CA">
              <w:t xml:space="preserve">throughout the life of the agreement </w:t>
            </w:r>
            <w:r w:rsidR="00013D1D">
              <w:t>clearly identified?</w:t>
            </w:r>
          </w:p>
        </w:tc>
      </w:tr>
      <w:tr w:rsidR="007C33D4" w:rsidTr="001768D0">
        <w:tc>
          <w:tcPr>
            <w:tcW w:w="355" w:type="dxa"/>
          </w:tcPr>
          <w:p w:rsidR="007C33D4" w:rsidRDefault="007C33D4" w:rsidP="007C33D4"/>
        </w:tc>
        <w:tc>
          <w:tcPr>
            <w:tcW w:w="9715" w:type="dxa"/>
          </w:tcPr>
          <w:p w:rsidR="005E58CA" w:rsidRDefault="007C33D4" w:rsidP="007C33D4">
            <w:pPr>
              <w:jc w:val="both"/>
            </w:pPr>
            <w:r>
              <w:t xml:space="preserve">How are system </w:t>
            </w:r>
            <w:r w:rsidR="00013D1D">
              <w:t xml:space="preserve">revisions and </w:t>
            </w:r>
            <w:r>
              <w:t>updates handled? Are they included in the cost of maintenance?</w:t>
            </w:r>
          </w:p>
        </w:tc>
      </w:tr>
      <w:tr w:rsidR="005E58CA" w:rsidTr="000371A6">
        <w:tc>
          <w:tcPr>
            <w:tcW w:w="355" w:type="dxa"/>
          </w:tcPr>
          <w:p w:rsidR="005E58CA" w:rsidRDefault="005E58CA" w:rsidP="007C33D4"/>
        </w:tc>
        <w:tc>
          <w:tcPr>
            <w:tcW w:w="9715" w:type="dxa"/>
            <w:shd w:val="clear" w:color="auto" w:fill="FFFFFF" w:themeFill="background1"/>
          </w:tcPr>
          <w:p w:rsidR="005E58CA" w:rsidRDefault="00D363DF" w:rsidP="007C33D4">
            <w:pPr>
              <w:jc w:val="both"/>
            </w:pPr>
            <w:r>
              <w:t xml:space="preserve">Ask the vendor to specifically state “what is not included in maintenance and what may result in additional costs?” Though it may be considered redundant, this is helpful to ensure there will be no unexpected and additional future costs. </w:t>
            </w:r>
          </w:p>
        </w:tc>
      </w:tr>
      <w:tr w:rsidR="007C33D4" w:rsidTr="001768D0">
        <w:tc>
          <w:tcPr>
            <w:tcW w:w="355" w:type="dxa"/>
          </w:tcPr>
          <w:p w:rsidR="007C33D4" w:rsidRDefault="007C33D4" w:rsidP="007C33D4"/>
        </w:tc>
        <w:tc>
          <w:tcPr>
            <w:tcW w:w="9715" w:type="dxa"/>
          </w:tcPr>
          <w:p w:rsidR="00B8574B" w:rsidRDefault="00013D1D" w:rsidP="00EC03C4">
            <w:pPr>
              <w:jc w:val="both"/>
            </w:pPr>
            <w:r>
              <w:t xml:space="preserve">How </w:t>
            </w:r>
            <w:r w:rsidR="00B8574B">
              <w:t xml:space="preserve">are the service levels being defined? Does </w:t>
            </w:r>
            <w:r w:rsidR="005E58CA">
              <w:t>the SSA</w:t>
            </w:r>
            <w:r w:rsidR="00B8574B">
              <w:t xml:space="preserve"> provide a clear understanding for anyone who will be monitoring and administering </w:t>
            </w:r>
            <w:r w:rsidR="005E58CA">
              <w:t xml:space="preserve">it </w:t>
            </w:r>
            <w:r w:rsidR="00B8574B">
              <w:t xml:space="preserve">moving forward? </w:t>
            </w:r>
            <w:r w:rsidR="005E58CA">
              <w:t>Since service levels</w:t>
            </w:r>
            <w:r w:rsidR="00B8574B">
              <w:t xml:space="preserve"> is an area which can cause increased risk, it is recommended that this be documented in detail, including the following: </w:t>
            </w:r>
          </w:p>
          <w:p w:rsidR="00EC03C4" w:rsidRPr="00262ED0" w:rsidRDefault="00B8574B" w:rsidP="00EC03C4">
            <w:pPr>
              <w:pStyle w:val="ListParagraph"/>
              <w:numPr>
                <w:ilvl w:val="0"/>
                <w:numId w:val="17"/>
              </w:numPr>
              <w:jc w:val="both"/>
            </w:pPr>
            <w:r w:rsidRPr="00262ED0">
              <w:rPr>
                <w:u w:val="single"/>
              </w:rPr>
              <w:t>Priority Level</w:t>
            </w:r>
            <w:r w:rsidR="00EC03C4" w:rsidRPr="00262ED0">
              <w:t xml:space="preserve"> - </w:t>
            </w:r>
            <w:r w:rsidRPr="00262ED0">
              <w:t xml:space="preserve">Defines </w:t>
            </w:r>
            <w:r w:rsidR="00EC03C4" w:rsidRPr="00262ED0">
              <w:t>the priority of the support required at</w:t>
            </w:r>
            <w:r w:rsidRPr="00262ED0">
              <w:t xml:space="preserve"> each level</w:t>
            </w:r>
            <w:r w:rsidR="00EC03C4" w:rsidRPr="00262ED0">
              <w:t>.</w:t>
            </w:r>
            <w:r w:rsidRPr="00262ED0">
              <w:t xml:space="preserve"> For example, a </w:t>
            </w:r>
            <w:r w:rsidR="00EC03C4" w:rsidRPr="00262ED0">
              <w:t>“</w:t>
            </w:r>
            <w:r w:rsidRPr="00262ED0">
              <w:t>Priority Level 1</w:t>
            </w:r>
            <w:r w:rsidR="00EC03C4" w:rsidRPr="00262ED0">
              <w:t xml:space="preserve">” </w:t>
            </w:r>
            <w:r w:rsidRPr="00262ED0">
              <w:t xml:space="preserve">or </w:t>
            </w:r>
            <w:r w:rsidR="00EC03C4" w:rsidRPr="00262ED0">
              <w:t xml:space="preserve">(Urgent”) </w:t>
            </w:r>
            <w:r w:rsidRPr="00262ED0">
              <w:t xml:space="preserve">indicates that the solution </w:t>
            </w:r>
            <w:r w:rsidR="00EC03C4" w:rsidRPr="00262ED0">
              <w:t xml:space="preserve">is inaccessible, </w:t>
            </w:r>
            <w:r w:rsidRPr="00262ED0">
              <w:t xml:space="preserve">unavailable, creating a severe impact to the </w:t>
            </w:r>
            <w:r w:rsidR="00EC03C4" w:rsidRPr="00262ED0">
              <w:t xml:space="preserve">business operations of the </w:t>
            </w:r>
            <w:r w:rsidR="004061E0">
              <w:t>court</w:t>
            </w:r>
            <w:r w:rsidR="00EC03C4" w:rsidRPr="00262ED0">
              <w:t xml:space="preserve">. </w:t>
            </w:r>
            <w:r w:rsidRPr="00262ED0">
              <w:t xml:space="preserve"> </w:t>
            </w:r>
          </w:p>
          <w:p w:rsidR="00EC03C4" w:rsidRPr="00262ED0" w:rsidRDefault="00B8574B" w:rsidP="00EC03C4">
            <w:pPr>
              <w:pStyle w:val="ListParagraph"/>
              <w:numPr>
                <w:ilvl w:val="0"/>
                <w:numId w:val="17"/>
              </w:numPr>
              <w:jc w:val="both"/>
            </w:pPr>
            <w:r w:rsidRPr="00262ED0">
              <w:rPr>
                <w:u w:val="single"/>
              </w:rPr>
              <w:t>Response Time</w:t>
            </w:r>
            <w:r w:rsidR="00EC03C4" w:rsidRPr="00262ED0">
              <w:t xml:space="preserve"> - Defines the amount of time the vendor has to </w:t>
            </w:r>
            <w:r w:rsidR="00EC03C4" w:rsidRPr="00262ED0">
              <w:rPr>
                <w:u w:val="single"/>
              </w:rPr>
              <w:t xml:space="preserve">respond </w:t>
            </w:r>
            <w:r w:rsidR="00EC03C4" w:rsidRPr="00262ED0">
              <w:t xml:space="preserve">to the support request by the </w:t>
            </w:r>
            <w:r w:rsidR="004061E0">
              <w:t>court</w:t>
            </w:r>
            <w:r w:rsidR="00EC03C4" w:rsidRPr="00262ED0">
              <w:t>. The response time varies based on the priority level. For example, a response time for a Priority Level 1 may be defined as “within one hour</w:t>
            </w:r>
            <w:r w:rsidR="00340BA2" w:rsidRPr="00262ED0">
              <w:t>,”</w:t>
            </w:r>
            <w:r w:rsidR="00EC03C4" w:rsidRPr="00262ED0">
              <w:t xml:space="preserve"> while the response time for a Priority Level 4 </w:t>
            </w:r>
            <w:r w:rsidR="00340BA2" w:rsidRPr="00262ED0">
              <w:t>may be defined as</w:t>
            </w:r>
            <w:r w:rsidR="00EC03C4" w:rsidRPr="00262ED0">
              <w:t xml:space="preserve"> </w:t>
            </w:r>
            <w:r w:rsidR="00340BA2" w:rsidRPr="00262ED0">
              <w:t>“</w:t>
            </w:r>
            <w:r w:rsidR="00EC03C4" w:rsidRPr="00262ED0">
              <w:t>within five business days</w:t>
            </w:r>
            <w:r w:rsidR="00340BA2" w:rsidRPr="00262ED0">
              <w:t>.”</w:t>
            </w:r>
          </w:p>
          <w:p w:rsidR="007C33D4" w:rsidRPr="00262ED0" w:rsidRDefault="00EC03C4" w:rsidP="00EC03C4">
            <w:pPr>
              <w:pStyle w:val="ListParagraph"/>
              <w:numPr>
                <w:ilvl w:val="0"/>
                <w:numId w:val="17"/>
              </w:numPr>
              <w:jc w:val="both"/>
            </w:pPr>
            <w:r w:rsidRPr="00262ED0">
              <w:rPr>
                <w:u w:val="single"/>
              </w:rPr>
              <w:t>Resolution</w:t>
            </w:r>
            <w:r w:rsidRPr="00262ED0">
              <w:t xml:space="preserve"> - Defines the amount of time required by the vendor to resolve the problem. Resolution times are difficult to quantify, as it will vary based on the </w:t>
            </w:r>
            <w:r w:rsidR="00340BA2" w:rsidRPr="00262ED0">
              <w:t xml:space="preserve">severity and </w:t>
            </w:r>
            <w:r w:rsidRPr="00262ED0">
              <w:t xml:space="preserve">complexity </w:t>
            </w:r>
            <w:r w:rsidR="00340BA2" w:rsidRPr="00262ED0">
              <w:t xml:space="preserve">of the support request. As a result, a definitive resolution time will likely not be identified. </w:t>
            </w:r>
          </w:p>
          <w:p w:rsidR="00340BA2" w:rsidRPr="00EC03C4" w:rsidRDefault="00340BA2" w:rsidP="00EC03C4">
            <w:pPr>
              <w:pStyle w:val="ListParagraph"/>
              <w:numPr>
                <w:ilvl w:val="0"/>
                <w:numId w:val="17"/>
              </w:numPr>
              <w:jc w:val="both"/>
              <w:rPr>
                <w:b/>
              </w:rPr>
            </w:pPr>
            <w:r w:rsidRPr="00262ED0">
              <w:rPr>
                <w:u w:val="single"/>
              </w:rPr>
              <w:lastRenderedPageBreak/>
              <w:t>Escalation</w:t>
            </w:r>
            <w:r w:rsidRPr="00262ED0">
              <w:t xml:space="preserve"> – Some SSA’s will contain an escalation language describing how the support request will be escalated in the incident is not resolved within a set </w:t>
            </w:r>
            <w:r w:rsidR="00262ED0" w:rsidRPr="00262ED0">
              <w:t>time</w:t>
            </w:r>
            <w:r w:rsidRPr="00262ED0">
              <w:t xml:space="preserve">, </w:t>
            </w:r>
            <w:r w:rsidR="00262ED0" w:rsidRPr="00262ED0">
              <w:t xml:space="preserve">generally defines </w:t>
            </w:r>
            <w:r w:rsidR="00B422F6" w:rsidRPr="00262ED0">
              <w:t>in hours</w:t>
            </w:r>
            <w:r w:rsidR="00262ED0" w:rsidRPr="00262ED0">
              <w:t xml:space="preserve"> or days, depending in the priority level.</w:t>
            </w:r>
            <w:r w:rsidR="00262ED0">
              <w:rPr>
                <w:b/>
              </w:rPr>
              <w:t xml:space="preserve"> </w:t>
            </w:r>
            <w:r w:rsidR="00B422F6" w:rsidRPr="00B422F6">
              <w:t xml:space="preserve">If determined that the </w:t>
            </w:r>
            <w:r w:rsidR="004061E0">
              <w:t>court</w:t>
            </w:r>
            <w:r w:rsidR="00B422F6" w:rsidRPr="00B422F6">
              <w:t xml:space="preserve"> will incorporate liquidated damages into their contract, this is an area in which they could be tied to.</w:t>
            </w:r>
            <w:r w:rsidR="00B422F6">
              <w:rPr>
                <w:b/>
              </w:rPr>
              <w:t xml:space="preserve">  </w:t>
            </w:r>
          </w:p>
        </w:tc>
      </w:tr>
    </w:tbl>
    <w:p w:rsidR="007A1921" w:rsidRDefault="007A1921" w:rsidP="00473204"/>
    <w:sectPr w:rsidR="007A1921" w:rsidSect="00473204">
      <w:pgSz w:w="12240" w:h="15840"/>
      <w:pgMar w:top="1008" w:right="108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77F" w:rsidRDefault="009B777F" w:rsidP="00EF56CE">
      <w:pPr>
        <w:spacing w:after="0" w:line="240" w:lineRule="auto"/>
      </w:pPr>
      <w:r>
        <w:separator/>
      </w:r>
    </w:p>
  </w:endnote>
  <w:endnote w:type="continuationSeparator" w:id="0">
    <w:p w:rsidR="009B777F" w:rsidRDefault="009B777F" w:rsidP="00EF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77F" w:rsidRDefault="009B777F" w:rsidP="00EF56CE">
      <w:pPr>
        <w:spacing w:after="0" w:line="240" w:lineRule="auto"/>
      </w:pPr>
      <w:r>
        <w:separator/>
      </w:r>
    </w:p>
  </w:footnote>
  <w:footnote w:type="continuationSeparator" w:id="0">
    <w:p w:rsidR="009B777F" w:rsidRDefault="009B777F" w:rsidP="00EF5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6AD4"/>
    <w:multiLevelType w:val="hybridMultilevel"/>
    <w:tmpl w:val="183CF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50308"/>
    <w:multiLevelType w:val="hybridMultilevel"/>
    <w:tmpl w:val="A24E1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E6AF3"/>
    <w:multiLevelType w:val="hybridMultilevel"/>
    <w:tmpl w:val="8814D85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11FA4"/>
    <w:multiLevelType w:val="hybridMultilevel"/>
    <w:tmpl w:val="A24E1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857C6"/>
    <w:multiLevelType w:val="hybridMultilevel"/>
    <w:tmpl w:val="39FAA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76523"/>
    <w:multiLevelType w:val="hybridMultilevel"/>
    <w:tmpl w:val="B45E0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52F72"/>
    <w:multiLevelType w:val="hybridMultilevel"/>
    <w:tmpl w:val="598C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55787"/>
    <w:multiLevelType w:val="hybridMultilevel"/>
    <w:tmpl w:val="5B0AF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FA33AB"/>
    <w:multiLevelType w:val="hybridMultilevel"/>
    <w:tmpl w:val="D0783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94C21"/>
    <w:multiLevelType w:val="hybridMultilevel"/>
    <w:tmpl w:val="A24E1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CE1429"/>
    <w:multiLevelType w:val="hybridMultilevel"/>
    <w:tmpl w:val="18B09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72A04"/>
    <w:multiLevelType w:val="hybridMultilevel"/>
    <w:tmpl w:val="34CA9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C317C"/>
    <w:multiLevelType w:val="hybridMultilevel"/>
    <w:tmpl w:val="25267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676531"/>
    <w:multiLevelType w:val="hybridMultilevel"/>
    <w:tmpl w:val="BA10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F47F53"/>
    <w:multiLevelType w:val="hybridMultilevel"/>
    <w:tmpl w:val="3BDE32AE"/>
    <w:lvl w:ilvl="0" w:tplc="9BC082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37149"/>
    <w:multiLevelType w:val="hybridMultilevel"/>
    <w:tmpl w:val="B45E0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65A1E"/>
    <w:multiLevelType w:val="hybridMultilevel"/>
    <w:tmpl w:val="023C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7"/>
  </w:num>
  <w:num w:numId="4">
    <w:abstractNumId w:val="8"/>
  </w:num>
  <w:num w:numId="5">
    <w:abstractNumId w:val="2"/>
  </w:num>
  <w:num w:numId="6">
    <w:abstractNumId w:val="16"/>
  </w:num>
  <w:num w:numId="7">
    <w:abstractNumId w:val="9"/>
  </w:num>
  <w:num w:numId="8">
    <w:abstractNumId w:val="3"/>
  </w:num>
  <w:num w:numId="9">
    <w:abstractNumId w:val="1"/>
  </w:num>
  <w:num w:numId="10">
    <w:abstractNumId w:val="11"/>
  </w:num>
  <w:num w:numId="11">
    <w:abstractNumId w:val="13"/>
  </w:num>
  <w:num w:numId="12">
    <w:abstractNumId w:val="15"/>
  </w:num>
  <w:num w:numId="13">
    <w:abstractNumId w:val="5"/>
  </w:num>
  <w:num w:numId="14">
    <w:abstractNumId w:val="10"/>
  </w:num>
  <w:num w:numId="15">
    <w:abstractNumId w:val="4"/>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2A9"/>
    <w:rsid w:val="00013D1D"/>
    <w:rsid w:val="00021941"/>
    <w:rsid w:val="000371A6"/>
    <w:rsid w:val="00064C04"/>
    <w:rsid w:val="00074FC9"/>
    <w:rsid w:val="000A3454"/>
    <w:rsid w:val="000A7EE8"/>
    <w:rsid w:val="000D0EE4"/>
    <w:rsid w:val="000E2E28"/>
    <w:rsid w:val="00105128"/>
    <w:rsid w:val="001100D5"/>
    <w:rsid w:val="00124AC5"/>
    <w:rsid w:val="00140C71"/>
    <w:rsid w:val="00140E20"/>
    <w:rsid w:val="00154642"/>
    <w:rsid w:val="00161801"/>
    <w:rsid w:val="00161E01"/>
    <w:rsid w:val="001768D0"/>
    <w:rsid w:val="00193E15"/>
    <w:rsid w:val="00200120"/>
    <w:rsid w:val="00262ED0"/>
    <w:rsid w:val="002673B3"/>
    <w:rsid w:val="002A3B10"/>
    <w:rsid w:val="002D2CFE"/>
    <w:rsid w:val="002D59D4"/>
    <w:rsid w:val="002E7488"/>
    <w:rsid w:val="002F45B8"/>
    <w:rsid w:val="0031585F"/>
    <w:rsid w:val="003326A2"/>
    <w:rsid w:val="00340BA2"/>
    <w:rsid w:val="003410CA"/>
    <w:rsid w:val="00342346"/>
    <w:rsid w:val="003560A6"/>
    <w:rsid w:val="00366142"/>
    <w:rsid w:val="00375F7B"/>
    <w:rsid w:val="003C598E"/>
    <w:rsid w:val="003E342B"/>
    <w:rsid w:val="0040175B"/>
    <w:rsid w:val="004061E0"/>
    <w:rsid w:val="004077B6"/>
    <w:rsid w:val="00417B83"/>
    <w:rsid w:val="00426179"/>
    <w:rsid w:val="00473204"/>
    <w:rsid w:val="004802A0"/>
    <w:rsid w:val="00494917"/>
    <w:rsid w:val="004A6B0B"/>
    <w:rsid w:val="004C6034"/>
    <w:rsid w:val="0050421A"/>
    <w:rsid w:val="00523BF9"/>
    <w:rsid w:val="00523E34"/>
    <w:rsid w:val="0053067C"/>
    <w:rsid w:val="00545B0F"/>
    <w:rsid w:val="005A14E3"/>
    <w:rsid w:val="005C0C81"/>
    <w:rsid w:val="005D0009"/>
    <w:rsid w:val="005E58CA"/>
    <w:rsid w:val="005E756C"/>
    <w:rsid w:val="005F1193"/>
    <w:rsid w:val="00612F6A"/>
    <w:rsid w:val="00626370"/>
    <w:rsid w:val="0062670B"/>
    <w:rsid w:val="0064442B"/>
    <w:rsid w:val="006543D7"/>
    <w:rsid w:val="00654D36"/>
    <w:rsid w:val="006968FB"/>
    <w:rsid w:val="006B1F1E"/>
    <w:rsid w:val="006F26F5"/>
    <w:rsid w:val="006F5D85"/>
    <w:rsid w:val="007156E0"/>
    <w:rsid w:val="00731A3A"/>
    <w:rsid w:val="00740EC4"/>
    <w:rsid w:val="00746F3C"/>
    <w:rsid w:val="0075166E"/>
    <w:rsid w:val="00774DE4"/>
    <w:rsid w:val="007A1921"/>
    <w:rsid w:val="007C33D4"/>
    <w:rsid w:val="007E2238"/>
    <w:rsid w:val="007F1514"/>
    <w:rsid w:val="007F7442"/>
    <w:rsid w:val="00803ACF"/>
    <w:rsid w:val="008365A5"/>
    <w:rsid w:val="008B14B3"/>
    <w:rsid w:val="008B54B9"/>
    <w:rsid w:val="008B639C"/>
    <w:rsid w:val="008E5C06"/>
    <w:rsid w:val="00901353"/>
    <w:rsid w:val="00936EFE"/>
    <w:rsid w:val="009547F1"/>
    <w:rsid w:val="00974900"/>
    <w:rsid w:val="00990C4F"/>
    <w:rsid w:val="009B55E1"/>
    <w:rsid w:val="009B777F"/>
    <w:rsid w:val="009E2EE7"/>
    <w:rsid w:val="009F26AB"/>
    <w:rsid w:val="00A01DEC"/>
    <w:rsid w:val="00A1619F"/>
    <w:rsid w:val="00A17695"/>
    <w:rsid w:val="00A52333"/>
    <w:rsid w:val="00A53CC9"/>
    <w:rsid w:val="00A560A5"/>
    <w:rsid w:val="00A60D58"/>
    <w:rsid w:val="00A765CF"/>
    <w:rsid w:val="00A874D6"/>
    <w:rsid w:val="00A90E80"/>
    <w:rsid w:val="00AA0FA9"/>
    <w:rsid w:val="00AD34F8"/>
    <w:rsid w:val="00AE3D8F"/>
    <w:rsid w:val="00B00BD0"/>
    <w:rsid w:val="00B01799"/>
    <w:rsid w:val="00B0463E"/>
    <w:rsid w:val="00B11D53"/>
    <w:rsid w:val="00B422F6"/>
    <w:rsid w:val="00B44A8C"/>
    <w:rsid w:val="00B5086F"/>
    <w:rsid w:val="00B83098"/>
    <w:rsid w:val="00B8574B"/>
    <w:rsid w:val="00BC10C0"/>
    <w:rsid w:val="00BC7871"/>
    <w:rsid w:val="00C0705B"/>
    <w:rsid w:val="00C24375"/>
    <w:rsid w:val="00C313F1"/>
    <w:rsid w:val="00C342A9"/>
    <w:rsid w:val="00C42763"/>
    <w:rsid w:val="00C44C2D"/>
    <w:rsid w:val="00C83623"/>
    <w:rsid w:val="00C83FEB"/>
    <w:rsid w:val="00C9006E"/>
    <w:rsid w:val="00CB39D2"/>
    <w:rsid w:val="00CB6070"/>
    <w:rsid w:val="00CC6CBB"/>
    <w:rsid w:val="00CE23F4"/>
    <w:rsid w:val="00CF4452"/>
    <w:rsid w:val="00CF76D0"/>
    <w:rsid w:val="00D101DA"/>
    <w:rsid w:val="00D22B30"/>
    <w:rsid w:val="00D363DF"/>
    <w:rsid w:val="00D37D0A"/>
    <w:rsid w:val="00D37F55"/>
    <w:rsid w:val="00D54EF5"/>
    <w:rsid w:val="00D92D6C"/>
    <w:rsid w:val="00D97A64"/>
    <w:rsid w:val="00DA15AE"/>
    <w:rsid w:val="00DA3730"/>
    <w:rsid w:val="00DB1B66"/>
    <w:rsid w:val="00DC7D02"/>
    <w:rsid w:val="00DD5111"/>
    <w:rsid w:val="00DF0D83"/>
    <w:rsid w:val="00E123DE"/>
    <w:rsid w:val="00E30B11"/>
    <w:rsid w:val="00E65A6A"/>
    <w:rsid w:val="00EC03C4"/>
    <w:rsid w:val="00ED476E"/>
    <w:rsid w:val="00EF56CE"/>
    <w:rsid w:val="00F06CC1"/>
    <w:rsid w:val="00F1232F"/>
    <w:rsid w:val="00F208AC"/>
    <w:rsid w:val="00F317E3"/>
    <w:rsid w:val="00F42EF8"/>
    <w:rsid w:val="00F46C5D"/>
    <w:rsid w:val="00F5604D"/>
    <w:rsid w:val="00F6343E"/>
    <w:rsid w:val="00F90B14"/>
    <w:rsid w:val="00F917E5"/>
    <w:rsid w:val="00FA43C6"/>
    <w:rsid w:val="00FA524D"/>
    <w:rsid w:val="00FA6D33"/>
    <w:rsid w:val="00FF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EA713-F8D4-4894-AD61-EF6333B4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179"/>
    <w:pPr>
      <w:ind w:left="720"/>
      <w:contextualSpacing/>
    </w:pPr>
  </w:style>
  <w:style w:type="table" w:styleId="TableGrid">
    <w:name w:val="Table Grid"/>
    <w:basedOn w:val="TableNormal"/>
    <w:uiPriority w:val="39"/>
    <w:rsid w:val="00F0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6CE"/>
  </w:style>
  <w:style w:type="paragraph" w:styleId="Footer">
    <w:name w:val="footer"/>
    <w:basedOn w:val="Normal"/>
    <w:link w:val="FooterChar"/>
    <w:uiPriority w:val="99"/>
    <w:unhideWhenUsed/>
    <w:rsid w:val="00EF5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6CE"/>
  </w:style>
  <w:style w:type="character" w:styleId="CommentReference">
    <w:name w:val="annotation reference"/>
    <w:basedOn w:val="DefaultParagraphFont"/>
    <w:uiPriority w:val="99"/>
    <w:semiHidden/>
    <w:unhideWhenUsed/>
    <w:rsid w:val="00B83098"/>
    <w:rPr>
      <w:sz w:val="16"/>
      <w:szCs w:val="16"/>
    </w:rPr>
  </w:style>
  <w:style w:type="paragraph" w:styleId="CommentText">
    <w:name w:val="annotation text"/>
    <w:basedOn w:val="Normal"/>
    <w:link w:val="CommentTextChar"/>
    <w:uiPriority w:val="99"/>
    <w:semiHidden/>
    <w:unhideWhenUsed/>
    <w:rsid w:val="00B83098"/>
    <w:pPr>
      <w:spacing w:line="240" w:lineRule="auto"/>
    </w:pPr>
    <w:rPr>
      <w:sz w:val="20"/>
      <w:szCs w:val="20"/>
    </w:rPr>
  </w:style>
  <w:style w:type="character" w:customStyle="1" w:styleId="CommentTextChar">
    <w:name w:val="Comment Text Char"/>
    <w:basedOn w:val="DefaultParagraphFont"/>
    <w:link w:val="CommentText"/>
    <w:uiPriority w:val="99"/>
    <w:semiHidden/>
    <w:rsid w:val="00B83098"/>
    <w:rPr>
      <w:sz w:val="20"/>
      <w:szCs w:val="20"/>
    </w:rPr>
  </w:style>
  <w:style w:type="paragraph" w:styleId="CommentSubject">
    <w:name w:val="annotation subject"/>
    <w:basedOn w:val="CommentText"/>
    <w:next w:val="CommentText"/>
    <w:link w:val="CommentSubjectChar"/>
    <w:uiPriority w:val="99"/>
    <w:semiHidden/>
    <w:unhideWhenUsed/>
    <w:rsid w:val="00B83098"/>
    <w:rPr>
      <w:b/>
      <w:bCs/>
    </w:rPr>
  </w:style>
  <w:style w:type="character" w:customStyle="1" w:styleId="CommentSubjectChar">
    <w:name w:val="Comment Subject Char"/>
    <w:basedOn w:val="CommentTextChar"/>
    <w:link w:val="CommentSubject"/>
    <w:uiPriority w:val="99"/>
    <w:semiHidden/>
    <w:rsid w:val="00B83098"/>
    <w:rPr>
      <w:b/>
      <w:bCs/>
      <w:sz w:val="20"/>
      <w:szCs w:val="20"/>
    </w:rPr>
  </w:style>
  <w:style w:type="paragraph" w:styleId="BalloonText">
    <w:name w:val="Balloon Text"/>
    <w:basedOn w:val="Normal"/>
    <w:link w:val="BalloonTextChar"/>
    <w:uiPriority w:val="99"/>
    <w:semiHidden/>
    <w:unhideWhenUsed/>
    <w:rsid w:val="00B830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 Randall</dc:creator>
  <cp:keywords/>
  <dc:description/>
  <cp:lastModifiedBy>Stuart, Robert</cp:lastModifiedBy>
  <cp:revision>2</cp:revision>
  <cp:lastPrinted>2020-02-07T19:18:00Z</cp:lastPrinted>
  <dcterms:created xsi:type="dcterms:W3CDTF">2021-03-18T17:44:00Z</dcterms:created>
  <dcterms:modified xsi:type="dcterms:W3CDTF">2021-03-18T17:44:00Z</dcterms:modified>
</cp:coreProperties>
</file>