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0E75" w:rsidRPr="002069DA" w:rsidRDefault="00940E75" w:rsidP="00940E75">
      <w:pPr>
        <w:jc w:val="center"/>
        <w:rPr>
          <w:b/>
        </w:rPr>
      </w:pPr>
      <w:r w:rsidRPr="002069DA">
        <w:rPr>
          <w:b/>
        </w:rPr>
        <w:t>PROPOSED AMENDMENTS TO THE RULES OF SUPERINTENDENCE</w:t>
      </w:r>
    </w:p>
    <w:p w:rsidR="00940E75" w:rsidRPr="002069DA" w:rsidRDefault="00940E75" w:rsidP="00940E75">
      <w:pPr>
        <w:jc w:val="center"/>
        <w:rPr>
          <w:b/>
        </w:rPr>
      </w:pPr>
      <w:r w:rsidRPr="002069DA">
        <w:rPr>
          <w:b/>
        </w:rPr>
        <w:t>FOR THE COURTS OF OHIO</w:t>
      </w:r>
    </w:p>
    <w:p w:rsidR="00940E75" w:rsidRPr="002069DA" w:rsidRDefault="00940E75" w:rsidP="00940E75">
      <w:pPr>
        <w:rPr>
          <w:b/>
        </w:rPr>
      </w:pPr>
    </w:p>
    <w:p w:rsidR="00940E75" w:rsidRPr="002069DA" w:rsidRDefault="00940E75" w:rsidP="00940E75">
      <w:pPr>
        <w:jc w:val="both"/>
      </w:pPr>
      <w:r w:rsidRPr="002069DA">
        <w:rPr>
          <w:b/>
        </w:rPr>
        <w:tab/>
      </w:r>
      <w:r w:rsidRPr="002069DA">
        <w:t>Comments Requested:  The Supreme Court of Ohio will accept public comments until</w:t>
      </w:r>
      <w:r>
        <w:t xml:space="preserve"> July 9, 2014,</w:t>
      </w:r>
      <w:r w:rsidRPr="002069DA">
        <w:t xml:space="preserve"> on the following proposed amendments to the Rules </w:t>
      </w:r>
      <w:r w:rsidRPr="002069DA">
        <w:rPr>
          <w:bCs/>
        </w:rPr>
        <w:t>of Superintendence for the Courts of Ohio</w:t>
      </w:r>
      <w:r w:rsidRPr="002069DA">
        <w:t>.</w:t>
      </w:r>
    </w:p>
    <w:p w:rsidR="00940E75" w:rsidRPr="002069DA" w:rsidRDefault="00940E75" w:rsidP="00940E75">
      <w:pPr>
        <w:jc w:val="both"/>
      </w:pPr>
    </w:p>
    <w:p w:rsidR="00940E75" w:rsidRPr="002069DA" w:rsidRDefault="00940E75" w:rsidP="00940E75">
      <w:pPr>
        <w:jc w:val="both"/>
      </w:pPr>
      <w:r w:rsidRPr="002069DA">
        <w:tab/>
        <w:t xml:space="preserve">Comments on the proposed amendments should be submitted in writing to:  </w:t>
      </w:r>
      <w:r>
        <w:t>John VanNorman, Senior Policy &amp; Research Counsel,</w:t>
      </w:r>
      <w:r w:rsidRPr="002069DA">
        <w:t xml:space="preserve"> Supreme Court of Ohio, 65 South Front Stree</w:t>
      </w:r>
      <w:r>
        <w:t>t, 7</w:t>
      </w:r>
      <w:r w:rsidRPr="002069DA">
        <w:t xml:space="preserve">th Floor, Columbus, Ohio  43215-3431, or </w:t>
      </w:r>
      <w:r>
        <w:t>john.vannorman</w:t>
      </w:r>
      <w:r w:rsidRPr="002069DA">
        <w:t>@sc.ohio.gov</w:t>
      </w:r>
      <w:hyperlink r:id="rId7" w:history="1"/>
      <w:r w:rsidRPr="002069DA">
        <w:t xml:space="preserve"> not later than</w:t>
      </w:r>
      <w:r>
        <w:t xml:space="preserve"> July 9, 2014</w:t>
      </w:r>
      <w:r w:rsidRPr="002069DA">
        <w:t>.  Please include your full name and mailing address in any comments submitted by e-mail.</w:t>
      </w:r>
    </w:p>
    <w:p w:rsidR="00940E75" w:rsidRPr="002069DA" w:rsidRDefault="00940E75" w:rsidP="00940E75"/>
    <w:p w:rsidR="00940E75" w:rsidRPr="002069DA" w:rsidRDefault="00940E75" w:rsidP="00940E75">
      <w:r w:rsidRPr="002069DA">
        <w:t>Key to Proposed Amendment:</w:t>
      </w:r>
    </w:p>
    <w:p w:rsidR="00940E75" w:rsidRDefault="00940E75" w:rsidP="00940E75">
      <w:pPr>
        <w:tabs>
          <w:tab w:val="left" w:pos="1440"/>
        </w:tabs>
        <w:jc w:val="both"/>
      </w:pPr>
    </w:p>
    <w:p w:rsidR="00940E75" w:rsidRPr="008D1B66" w:rsidRDefault="00F44009" w:rsidP="00940E75">
      <w:pPr>
        <w:tabs>
          <w:tab w:val="left" w:pos="1440"/>
        </w:tabs>
        <w:jc w:val="both"/>
      </w:pPr>
      <w:r>
        <w:tab/>
      </w:r>
      <w:r w:rsidR="00940E75">
        <w:t>1.</w:t>
      </w:r>
      <w:r w:rsidR="00940E75">
        <w:tab/>
      </w:r>
      <w:r w:rsidR="00940E75" w:rsidRPr="008D1B66">
        <w:t>Existing language appears in regular type.  Example: text</w:t>
      </w:r>
    </w:p>
    <w:p w:rsidR="00940E75" w:rsidRDefault="00940E75" w:rsidP="00940E75">
      <w:pPr>
        <w:tabs>
          <w:tab w:val="left" w:pos="1440"/>
        </w:tabs>
        <w:jc w:val="both"/>
      </w:pPr>
    </w:p>
    <w:p w:rsidR="00940E75" w:rsidRPr="008D1B66" w:rsidRDefault="00940E75" w:rsidP="00940E75">
      <w:pPr>
        <w:tabs>
          <w:tab w:val="left" w:pos="1440"/>
        </w:tabs>
        <w:jc w:val="both"/>
      </w:pPr>
      <w:r>
        <w:tab/>
        <w:t>2.</w:t>
      </w:r>
      <w:r>
        <w:tab/>
      </w:r>
      <w:r w:rsidRPr="008D1B66">
        <w:t xml:space="preserve">Existing language to be deleted appears in strikethrough.  Example: </w:t>
      </w:r>
      <w:r w:rsidRPr="008D1B66">
        <w:rPr>
          <w:strike/>
        </w:rPr>
        <w:t>text</w:t>
      </w:r>
    </w:p>
    <w:p w:rsidR="00940E75" w:rsidRDefault="00940E75" w:rsidP="00940E75">
      <w:pPr>
        <w:tabs>
          <w:tab w:val="left" w:pos="1440"/>
        </w:tabs>
        <w:jc w:val="both"/>
      </w:pPr>
    </w:p>
    <w:p w:rsidR="00940E75" w:rsidRPr="008D1B66" w:rsidRDefault="00940E75" w:rsidP="00940E75">
      <w:pPr>
        <w:tabs>
          <w:tab w:val="left" w:pos="1440"/>
        </w:tabs>
        <w:jc w:val="both"/>
      </w:pPr>
      <w:r>
        <w:tab/>
        <w:t>3.</w:t>
      </w:r>
      <w:r>
        <w:tab/>
      </w:r>
      <w:r w:rsidRPr="008D1B66">
        <w:t xml:space="preserve">New language to be added appears in underline.  Example: </w:t>
      </w:r>
      <w:r w:rsidRPr="008D1B66">
        <w:rPr>
          <w:u w:val="single"/>
        </w:rPr>
        <w:t>text</w:t>
      </w:r>
    </w:p>
    <w:p w:rsidR="00940E75" w:rsidRDefault="00940E75" w:rsidP="00B21983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b/>
          <w:bCs/>
        </w:rPr>
      </w:pPr>
    </w:p>
    <w:p w:rsidR="00940E75" w:rsidRDefault="00940E75" w:rsidP="00B21983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b/>
          <w:bCs/>
        </w:rPr>
      </w:pPr>
    </w:p>
    <w:p w:rsidR="00940E75" w:rsidRDefault="00940E75" w:rsidP="00B21983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b/>
          <w:bCs/>
        </w:rPr>
      </w:pPr>
    </w:p>
    <w:p w:rsidR="00940E75" w:rsidRDefault="00940E75" w:rsidP="00B21983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b/>
          <w:bCs/>
        </w:rPr>
        <w:sectPr w:rsidR="00940E75" w:rsidSect="00940E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990" w:footer="1440" w:gutter="0"/>
          <w:cols w:space="720"/>
          <w:titlePg/>
          <w:docGrid w:linePitch="326"/>
        </w:sectPr>
      </w:pPr>
    </w:p>
    <w:p w:rsidR="00D95509" w:rsidRPr="00423CFD" w:rsidRDefault="00D95509" w:rsidP="00940E75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b/>
          <w:bCs/>
        </w:rPr>
      </w:pPr>
      <w:r w:rsidRPr="00423CFD">
        <w:rPr>
          <w:b/>
          <w:bCs/>
        </w:rPr>
        <w:lastRenderedPageBreak/>
        <w:t>RULES OF SUPERINTENDENCE FOR THE COURTS OF OHIO</w:t>
      </w:r>
    </w:p>
    <w:p w:rsidR="00423CFD" w:rsidRPr="009F076E" w:rsidRDefault="00423CFD" w:rsidP="00B21983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b/>
        </w:rPr>
      </w:pPr>
    </w:p>
    <w:p w:rsidR="00426393" w:rsidRPr="00426393" w:rsidRDefault="00426393" w:rsidP="00426393">
      <w:pPr>
        <w:pStyle w:val="Default"/>
        <w:jc w:val="both"/>
        <w:rPr>
          <w:b/>
          <w:bCs/>
          <w:szCs w:val="23"/>
        </w:rPr>
      </w:pPr>
      <w:proofErr w:type="gramStart"/>
      <w:r w:rsidRPr="00426393">
        <w:rPr>
          <w:b/>
          <w:bCs/>
          <w:szCs w:val="23"/>
        </w:rPr>
        <w:t>RULE 49.</w:t>
      </w:r>
      <w:proofErr w:type="gramEnd"/>
      <w:r w:rsidRPr="00426393">
        <w:rPr>
          <w:b/>
          <w:bCs/>
          <w:szCs w:val="23"/>
        </w:rPr>
        <w:t xml:space="preserve"> </w:t>
      </w:r>
      <w:r>
        <w:rPr>
          <w:b/>
          <w:bCs/>
          <w:szCs w:val="23"/>
        </w:rPr>
        <w:tab/>
      </w:r>
      <w:proofErr w:type="gramStart"/>
      <w:r w:rsidRPr="00426393">
        <w:rPr>
          <w:b/>
          <w:bCs/>
          <w:szCs w:val="23"/>
        </w:rPr>
        <w:t>Definitions.</w:t>
      </w:r>
      <w:proofErr w:type="gramEnd"/>
      <w:r w:rsidRPr="00426393">
        <w:rPr>
          <w:b/>
          <w:bCs/>
          <w:szCs w:val="23"/>
        </w:rPr>
        <w:t xml:space="preserve"> </w:t>
      </w:r>
    </w:p>
    <w:p w:rsidR="00426393" w:rsidRPr="00426393" w:rsidRDefault="00426393" w:rsidP="00426393">
      <w:pPr>
        <w:pStyle w:val="Default"/>
        <w:jc w:val="both"/>
        <w:rPr>
          <w:szCs w:val="23"/>
        </w:rPr>
      </w:pPr>
    </w:p>
    <w:p w:rsidR="00426393" w:rsidRDefault="00426393" w:rsidP="00426393">
      <w:pPr>
        <w:pStyle w:val="Default"/>
        <w:jc w:val="both"/>
        <w:rPr>
          <w:b/>
          <w:bCs/>
          <w:szCs w:val="23"/>
        </w:rPr>
      </w:pPr>
      <w:r w:rsidRPr="00426393">
        <w:rPr>
          <w:szCs w:val="23"/>
        </w:rPr>
        <w:t>As used in Sup.R. 49 through 49.12</w:t>
      </w:r>
      <w:r w:rsidRPr="00426393">
        <w:rPr>
          <w:b/>
          <w:bCs/>
          <w:szCs w:val="23"/>
        </w:rPr>
        <w:t xml:space="preserve">: </w:t>
      </w:r>
    </w:p>
    <w:p w:rsidR="00426393" w:rsidRPr="00426393" w:rsidRDefault="00426393" w:rsidP="00426393">
      <w:pPr>
        <w:pStyle w:val="Default"/>
        <w:jc w:val="both"/>
        <w:rPr>
          <w:szCs w:val="23"/>
        </w:rPr>
      </w:pPr>
    </w:p>
    <w:p w:rsidR="00426393" w:rsidRPr="00426393" w:rsidRDefault="00426393" w:rsidP="0012318F">
      <w:pPr>
        <w:pStyle w:val="Default"/>
        <w:ind w:left="720"/>
        <w:jc w:val="both"/>
        <w:rPr>
          <w:szCs w:val="23"/>
        </w:rPr>
      </w:pPr>
      <w:r w:rsidRPr="00426393">
        <w:rPr>
          <w:b/>
          <w:bCs/>
          <w:szCs w:val="23"/>
        </w:rPr>
        <w:t xml:space="preserve">(A) </w:t>
      </w:r>
      <w:r>
        <w:rPr>
          <w:b/>
          <w:bCs/>
          <w:szCs w:val="23"/>
        </w:rPr>
        <w:tab/>
      </w:r>
      <w:r w:rsidRPr="00426393">
        <w:rPr>
          <w:b/>
          <w:bCs/>
          <w:szCs w:val="23"/>
        </w:rPr>
        <w:t xml:space="preserve">Business entity </w:t>
      </w:r>
    </w:p>
    <w:p w:rsidR="00426393" w:rsidRDefault="00426393" w:rsidP="0012318F">
      <w:pPr>
        <w:pStyle w:val="Default"/>
        <w:ind w:left="720"/>
        <w:jc w:val="both"/>
        <w:rPr>
          <w:szCs w:val="23"/>
        </w:rPr>
      </w:pPr>
    </w:p>
    <w:p w:rsidR="00426393" w:rsidRDefault="00426393" w:rsidP="0012318F">
      <w:pPr>
        <w:pStyle w:val="Default"/>
        <w:ind w:left="1440"/>
        <w:jc w:val="both"/>
        <w:rPr>
          <w:szCs w:val="23"/>
        </w:rPr>
      </w:pPr>
      <w:r w:rsidRPr="00426393">
        <w:rPr>
          <w:szCs w:val="23"/>
        </w:rPr>
        <w:t xml:space="preserve">“Business entity” means a for profit or nonprofit corporation, partnership, limited liability company, limited liability partnership, professional association, business trust, joint venture, unincorporated association, or sole proprietorship. </w:t>
      </w:r>
    </w:p>
    <w:p w:rsidR="00426393" w:rsidRPr="00426393" w:rsidRDefault="00426393" w:rsidP="0012318F">
      <w:pPr>
        <w:pStyle w:val="Default"/>
        <w:ind w:left="1440"/>
        <w:jc w:val="both"/>
        <w:rPr>
          <w:szCs w:val="23"/>
        </w:rPr>
      </w:pPr>
    </w:p>
    <w:p w:rsidR="00426393" w:rsidRDefault="00426393" w:rsidP="0012318F">
      <w:pPr>
        <w:pStyle w:val="Default"/>
        <w:ind w:left="720"/>
        <w:jc w:val="both"/>
        <w:rPr>
          <w:b/>
          <w:bCs/>
          <w:szCs w:val="23"/>
          <w:u w:val="single"/>
        </w:rPr>
      </w:pPr>
      <w:r w:rsidRPr="00426393">
        <w:rPr>
          <w:b/>
          <w:bCs/>
          <w:szCs w:val="23"/>
        </w:rPr>
        <w:t xml:space="preserve">(B) </w:t>
      </w:r>
      <w:r>
        <w:rPr>
          <w:b/>
          <w:bCs/>
          <w:szCs w:val="23"/>
        </w:rPr>
        <w:tab/>
      </w:r>
      <w:r>
        <w:rPr>
          <w:b/>
          <w:bCs/>
          <w:szCs w:val="23"/>
          <w:u w:val="single"/>
        </w:rPr>
        <w:t>Commercial docket judge</w:t>
      </w:r>
    </w:p>
    <w:p w:rsidR="00426393" w:rsidRDefault="00426393" w:rsidP="0012318F">
      <w:pPr>
        <w:pStyle w:val="Default"/>
        <w:ind w:left="720"/>
        <w:jc w:val="both"/>
        <w:rPr>
          <w:b/>
          <w:bCs/>
          <w:szCs w:val="23"/>
          <w:u w:val="single"/>
        </w:rPr>
      </w:pPr>
    </w:p>
    <w:p w:rsidR="00426393" w:rsidRPr="00426393" w:rsidRDefault="00426393" w:rsidP="0012318F">
      <w:pPr>
        <w:pStyle w:val="Default"/>
        <w:ind w:left="1440"/>
        <w:jc w:val="both"/>
        <w:rPr>
          <w:u w:val="single"/>
        </w:rPr>
      </w:pPr>
      <w:r w:rsidRPr="00426393">
        <w:rPr>
          <w:u w:val="single"/>
        </w:rPr>
        <w:t>“Commercial docket judge” means a</w:t>
      </w:r>
      <w:r w:rsidR="00CF5B79">
        <w:rPr>
          <w:u w:val="single"/>
        </w:rPr>
        <w:t xml:space="preserve"> sitting</w:t>
      </w:r>
      <w:r w:rsidRPr="00426393">
        <w:rPr>
          <w:u w:val="single"/>
        </w:rPr>
        <w:t xml:space="preserve"> judge designated or </w:t>
      </w:r>
      <w:r w:rsidR="00CF5B79">
        <w:rPr>
          <w:u w:val="single"/>
        </w:rPr>
        <w:t xml:space="preserve">retired judge </w:t>
      </w:r>
      <w:r w:rsidRPr="00426393">
        <w:rPr>
          <w:u w:val="single"/>
        </w:rPr>
        <w:t xml:space="preserve">assigned by the Chief Justice </w:t>
      </w:r>
      <w:r>
        <w:rPr>
          <w:u w:val="single"/>
        </w:rPr>
        <w:t xml:space="preserve">pursuant to Sup.R. 49.02 </w:t>
      </w:r>
      <w:r w:rsidRPr="00426393">
        <w:rPr>
          <w:u w:val="single"/>
        </w:rPr>
        <w:t>to hear cases assigned to a commercial docket</w:t>
      </w:r>
      <w:r>
        <w:rPr>
          <w:u w:val="single"/>
        </w:rPr>
        <w:t>.</w:t>
      </w:r>
    </w:p>
    <w:p w:rsidR="00426393" w:rsidRDefault="00426393" w:rsidP="0012318F">
      <w:pPr>
        <w:pStyle w:val="Default"/>
        <w:ind w:left="720"/>
        <w:jc w:val="both"/>
        <w:rPr>
          <w:b/>
          <w:bCs/>
          <w:szCs w:val="23"/>
        </w:rPr>
      </w:pPr>
    </w:p>
    <w:p w:rsidR="00426393" w:rsidRDefault="00426393" w:rsidP="0012318F">
      <w:pPr>
        <w:pStyle w:val="Default"/>
        <w:ind w:left="720"/>
        <w:jc w:val="both"/>
        <w:rPr>
          <w:b/>
          <w:bCs/>
          <w:szCs w:val="23"/>
        </w:rPr>
      </w:pPr>
      <w:r w:rsidRPr="00426393">
        <w:rPr>
          <w:b/>
          <w:bCs/>
          <w:szCs w:val="23"/>
          <w:u w:val="single"/>
        </w:rPr>
        <w:t>(C)</w:t>
      </w:r>
      <w:r>
        <w:rPr>
          <w:b/>
          <w:bCs/>
          <w:szCs w:val="23"/>
        </w:rPr>
        <w:tab/>
      </w:r>
      <w:r w:rsidRPr="00426393">
        <w:rPr>
          <w:b/>
          <w:bCs/>
          <w:szCs w:val="23"/>
        </w:rPr>
        <w:t xml:space="preserve">Retired judge </w:t>
      </w:r>
    </w:p>
    <w:p w:rsidR="00426393" w:rsidRPr="00426393" w:rsidRDefault="00426393" w:rsidP="0012318F">
      <w:pPr>
        <w:pStyle w:val="Default"/>
        <w:ind w:left="720"/>
        <w:jc w:val="both"/>
        <w:rPr>
          <w:szCs w:val="23"/>
        </w:rPr>
      </w:pPr>
    </w:p>
    <w:p w:rsidR="00D95509" w:rsidRPr="00426393" w:rsidRDefault="00426393" w:rsidP="0012318F">
      <w:pPr>
        <w:tabs>
          <w:tab w:val="left" w:pos="720"/>
          <w:tab w:val="left" w:pos="1440"/>
          <w:tab w:val="left" w:pos="2160"/>
          <w:tab w:val="left" w:pos="2880"/>
        </w:tabs>
        <w:ind w:left="720"/>
        <w:jc w:val="both"/>
        <w:rPr>
          <w:b/>
          <w:sz w:val="28"/>
        </w:rPr>
      </w:pPr>
      <w:r>
        <w:rPr>
          <w:szCs w:val="23"/>
        </w:rPr>
        <w:tab/>
      </w:r>
      <w:r w:rsidRPr="00426393">
        <w:rPr>
          <w:szCs w:val="23"/>
        </w:rPr>
        <w:t>“Retired judge” has the same meaning as in Sup.R. 17(A</w:t>
      </w:r>
      <w:proofErr w:type="gramStart"/>
      <w:r w:rsidRPr="00426393">
        <w:rPr>
          <w:szCs w:val="23"/>
        </w:rPr>
        <w:t>)(</w:t>
      </w:r>
      <w:proofErr w:type="gramEnd"/>
      <w:r w:rsidRPr="00426393">
        <w:rPr>
          <w:szCs w:val="23"/>
        </w:rPr>
        <w:t>1).</w:t>
      </w:r>
    </w:p>
    <w:p w:rsidR="00426393" w:rsidRDefault="00426393" w:rsidP="009F076E">
      <w:pPr>
        <w:pStyle w:val="Default"/>
        <w:jc w:val="both"/>
        <w:rPr>
          <w:b/>
          <w:bCs/>
        </w:rPr>
      </w:pPr>
    </w:p>
    <w:p w:rsidR="00426393" w:rsidRDefault="00426393" w:rsidP="009F076E">
      <w:pPr>
        <w:pStyle w:val="Default"/>
        <w:jc w:val="both"/>
        <w:rPr>
          <w:b/>
          <w:bCs/>
        </w:rPr>
      </w:pPr>
    </w:p>
    <w:p w:rsidR="009F076E" w:rsidRPr="009F076E" w:rsidRDefault="009F076E" w:rsidP="009F076E">
      <w:pPr>
        <w:pStyle w:val="Default"/>
        <w:jc w:val="both"/>
        <w:rPr>
          <w:b/>
          <w:bCs/>
        </w:rPr>
      </w:pPr>
      <w:proofErr w:type="gramStart"/>
      <w:r w:rsidRPr="009F076E">
        <w:rPr>
          <w:b/>
          <w:bCs/>
        </w:rPr>
        <w:t>RULE 49.02.</w:t>
      </w:r>
      <w:proofErr w:type="gramEnd"/>
      <w:r w:rsidRPr="009F076E">
        <w:rPr>
          <w:b/>
          <w:bCs/>
        </w:rPr>
        <w:t xml:space="preserve"> </w:t>
      </w:r>
      <w:r w:rsidRPr="009F076E">
        <w:rPr>
          <w:b/>
          <w:bCs/>
        </w:rPr>
        <w:tab/>
      </w:r>
      <w:r>
        <w:rPr>
          <w:b/>
          <w:bCs/>
        </w:rPr>
        <w:tab/>
      </w:r>
      <w:proofErr w:type="gramStart"/>
      <w:r w:rsidRPr="009F076E">
        <w:rPr>
          <w:b/>
          <w:bCs/>
        </w:rPr>
        <w:t>Designation or Assignment of Commercial Docket Judges.</w:t>
      </w:r>
      <w:proofErr w:type="gramEnd"/>
      <w:r w:rsidRPr="009F076E">
        <w:rPr>
          <w:b/>
          <w:bCs/>
        </w:rPr>
        <w:t xml:space="preserve"> </w:t>
      </w:r>
    </w:p>
    <w:p w:rsidR="009F076E" w:rsidRPr="009F076E" w:rsidRDefault="009F076E" w:rsidP="009F076E">
      <w:pPr>
        <w:pStyle w:val="Default"/>
        <w:jc w:val="both"/>
      </w:pPr>
    </w:p>
    <w:p w:rsidR="009F076E" w:rsidRPr="009F076E" w:rsidRDefault="009F076E" w:rsidP="009F076E">
      <w:pPr>
        <w:pStyle w:val="Default"/>
        <w:jc w:val="both"/>
        <w:rPr>
          <w:b/>
          <w:bCs/>
        </w:rPr>
      </w:pPr>
      <w:r w:rsidRPr="009F076E">
        <w:rPr>
          <w:b/>
          <w:bCs/>
        </w:rPr>
        <w:t xml:space="preserve">(A) </w:t>
      </w:r>
      <w:r>
        <w:rPr>
          <w:b/>
          <w:bCs/>
        </w:rPr>
        <w:tab/>
      </w:r>
      <w:r w:rsidRPr="009F076E">
        <w:rPr>
          <w:b/>
          <w:bCs/>
        </w:rPr>
        <w:t xml:space="preserve">Designation or assignment by Chief Justice </w:t>
      </w:r>
    </w:p>
    <w:p w:rsidR="009F076E" w:rsidRPr="009F076E" w:rsidRDefault="009F076E" w:rsidP="009F076E">
      <w:pPr>
        <w:pStyle w:val="Default"/>
        <w:jc w:val="both"/>
      </w:pPr>
    </w:p>
    <w:p w:rsidR="009F076E" w:rsidRDefault="0085713F" w:rsidP="009F076E">
      <w:pPr>
        <w:pStyle w:val="Default"/>
        <w:ind w:left="720"/>
        <w:jc w:val="both"/>
      </w:pPr>
      <w:r>
        <w:t>(A)</w:t>
      </w:r>
      <w:r>
        <w:tab/>
      </w:r>
      <w:r w:rsidR="009F076E" w:rsidRPr="009F076E">
        <w:t xml:space="preserve">Each court of common pleas that has established a commercial docket pursuant to Sup.R. 49.01 shall select either of the following methods for designating or assigning </w:t>
      </w:r>
      <w:r w:rsidR="00426393">
        <w:rPr>
          <w:u w:val="single"/>
        </w:rPr>
        <w:t>commercial docket</w:t>
      </w:r>
      <w:r w:rsidR="00426393">
        <w:t xml:space="preserve"> </w:t>
      </w:r>
      <w:r w:rsidR="009F076E" w:rsidRPr="00426393">
        <w:t xml:space="preserve">judges </w:t>
      </w:r>
      <w:r w:rsidR="009F076E" w:rsidRPr="00426393">
        <w:rPr>
          <w:strike/>
        </w:rPr>
        <w:t>to hear cases assigned to the docket</w:t>
      </w:r>
      <w:r w:rsidR="009F076E" w:rsidRPr="009F076E">
        <w:t xml:space="preserve">: </w:t>
      </w:r>
    </w:p>
    <w:p w:rsidR="009F076E" w:rsidRPr="009F076E" w:rsidRDefault="009F076E" w:rsidP="009F076E">
      <w:pPr>
        <w:pStyle w:val="Default"/>
        <w:ind w:left="720"/>
        <w:jc w:val="both"/>
      </w:pPr>
    </w:p>
    <w:p w:rsidR="009F076E" w:rsidRDefault="009F076E" w:rsidP="009F076E">
      <w:pPr>
        <w:pStyle w:val="Default"/>
        <w:ind w:left="1440"/>
        <w:jc w:val="both"/>
      </w:pPr>
      <w:r w:rsidRPr="009F076E">
        <w:t xml:space="preserve">(1) </w:t>
      </w:r>
      <w:r>
        <w:tab/>
      </w:r>
      <w:r w:rsidRPr="009F076E">
        <w:t xml:space="preserve">Request the Chief Justice of the Supreme Court to designate two or more sitting judges of the general division of the court. The Chief Justice shall not designate a judge unless the judge agrees to participate. </w:t>
      </w:r>
    </w:p>
    <w:p w:rsidR="009F076E" w:rsidRPr="009F076E" w:rsidRDefault="009F076E" w:rsidP="009F076E">
      <w:pPr>
        <w:pStyle w:val="Default"/>
        <w:ind w:left="1440"/>
        <w:jc w:val="both"/>
      </w:pPr>
    </w:p>
    <w:p w:rsidR="009F076E" w:rsidRDefault="009F076E" w:rsidP="009F076E">
      <w:pPr>
        <w:pStyle w:val="Default"/>
        <w:ind w:left="1440"/>
        <w:jc w:val="both"/>
      </w:pPr>
      <w:r w:rsidRPr="009F076E">
        <w:t xml:space="preserve">(2) </w:t>
      </w:r>
      <w:r>
        <w:tab/>
      </w:r>
      <w:r w:rsidRPr="009F076E">
        <w:t xml:space="preserve">Request the Chief Justice to assign one or more retired judges to active duty </w:t>
      </w:r>
      <w:r w:rsidRPr="00314033">
        <w:rPr>
          <w:strike/>
        </w:rPr>
        <w:t>to</w:t>
      </w:r>
      <w:r w:rsidRPr="009F076E">
        <w:t xml:space="preserve"> </w:t>
      </w:r>
      <w:r w:rsidR="00314033">
        <w:rPr>
          <w:u w:val="single"/>
        </w:rPr>
        <w:t>on</w:t>
      </w:r>
      <w:r w:rsidR="00314033">
        <w:t xml:space="preserve"> </w:t>
      </w:r>
      <w:r w:rsidRPr="009F076E">
        <w:t xml:space="preserve">the court pursuant to Article IV, Section 6(C) of the Ohio Constitution. </w:t>
      </w:r>
    </w:p>
    <w:p w:rsidR="00F400C7" w:rsidRDefault="00F400C7" w:rsidP="009F076E">
      <w:pPr>
        <w:pStyle w:val="Default"/>
        <w:jc w:val="both"/>
        <w:rPr>
          <w:b/>
          <w:bCs/>
        </w:rPr>
      </w:pPr>
    </w:p>
    <w:p w:rsidR="009F076E" w:rsidRPr="00426393" w:rsidRDefault="009F076E" w:rsidP="009F076E">
      <w:pPr>
        <w:pStyle w:val="Default"/>
        <w:jc w:val="both"/>
        <w:rPr>
          <w:b/>
          <w:bCs/>
          <w:strike/>
        </w:rPr>
      </w:pPr>
      <w:r w:rsidRPr="009F076E">
        <w:rPr>
          <w:b/>
          <w:bCs/>
        </w:rPr>
        <w:t xml:space="preserve">(B) </w:t>
      </w:r>
      <w:r>
        <w:rPr>
          <w:b/>
          <w:bCs/>
        </w:rPr>
        <w:tab/>
      </w:r>
      <w:r w:rsidRPr="00426393">
        <w:rPr>
          <w:b/>
          <w:bCs/>
          <w:strike/>
        </w:rPr>
        <w:t xml:space="preserve">Title </w:t>
      </w:r>
    </w:p>
    <w:p w:rsidR="009F076E" w:rsidRPr="00426393" w:rsidRDefault="009F076E" w:rsidP="009F076E">
      <w:pPr>
        <w:pStyle w:val="Default"/>
        <w:jc w:val="both"/>
        <w:rPr>
          <w:strike/>
        </w:rPr>
      </w:pPr>
    </w:p>
    <w:p w:rsidR="009F076E" w:rsidRPr="00426393" w:rsidRDefault="009F076E" w:rsidP="009F076E">
      <w:pPr>
        <w:pStyle w:val="Default"/>
        <w:ind w:left="720"/>
        <w:jc w:val="both"/>
        <w:rPr>
          <w:strike/>
        </w:rPr>
      </w:pPr>
      <w:r w:rsidRPr="00426393">
        <w:rPr>
          <w:strike/>
        </w:rPr>
        <w:t xml:space="preserve">The judges designated or assigned by the Chief Justice shall be styled “commercial docket judges.” </w:t>
      </w:r>
    </w:p>
    <w:p w:rsidR="009F076E" w:rsidRDefault="009F076E" w:rsidP="009F076E">
      <w:pPr>
        <w:pStyle w:val="Default"/>
        <w:jc w:val="both"/>
      </w:pPr>
    </w:p>
    <w:p w:rsidR="00F400C7" w:rsidRDefault="00F400C7" w:rsidP="009F076E">
      <w:pPr>
        <w:pStyle w:val="Default"/>
        <w:jc w:val="both"/>
      </w:pPr>
    </w:p>
    <w:p w:rsidR="00F400C7" w:rsidRDefault="00F400C7" w:rsidP="009F076E">
      <w:pPr>
        <w:pStyle w:val="Default"/>
        <w:jc w:val="both"/>
      </w:pPr>
    </w:p>
    <w:p w:rsidR="00F400C7" w:rsidRPr="009F076E" w:rsidRDefault="00F400C7" w:rsidP="009F076E">
      <w:pPr>
        <w:pStyle w:val="Default"/>
        <w:jc w:val="both"/>
      </w:pPr>
    </w:p>
    <w:p w:rsidR="009F076E" w:rsidRDefault="009F076E" w:rsidP="009F076E">
      <w:pPr>
        <w:pStyle w:val="Default"/>
        <w:jc w:val="both"/>
        <w:rPr>
          <w:b/>
          <w:bCs/>
        </w:rPr>
      </w:pPr>
      <w:r w:rsidRPr="00426393">
        <w:rPr>
          <w:b/>
          <w:bCs/>
          <w:strike/>
        </w:rPr>
        <w:t>(C)</w:t>
      </w:r>
      <w:r w:rsidRPr="009F076E">
        <w:rPr>
          <w:b/>
          <w:bCs/>
        </w:rPr>
        <w:t xml:space="preserve"> </w:t>
      </w:r>
      <w:r>
        <w:rPr>
          <w:b/>
          <w:bCs/>
        </w:rPr>
        <w:tab/>
      </w:r>
      <w:r w:rsidRPr="009F076E">
        <w:rPr>
          <w:b/>
          <w:bCs/>
        </w:rPr>
        <w:t xml:space="preserve">Candidate recommendations </w:t>
      </w:r>
    </w:p>
    <w:p w:rsidR="009F076E" w:rsidRPr="009F076E" w:rsidRDefault="009F076E" w:rsidP="009F076E">
      <w:pPr>
        <w:pStyle w:val="Default"/>
        <w:jc w:val="both"/>
      </w:pPr>
    </w:p>
    <w:p w:rsidR="004973A3" w:rsidRPr="00426393" w:rsidRDefault="009F076E" w:rsidP="00426393">
      <w:pPr>
        <w:ind w:left="720"/>
        <w:jc w:val="both"/>
      </w:pPr>
      <w:r w:rsidRPr="00B93C6A">
        <w:rPr>
          <w:strike/>
        </w:rPr>
        <w:t>A</w:t>
      </w:r>
      <w:r w:rsidRPr="009F076E">
        <w:t xml:space="preserve"> </w:t>
      </w:r>
      <w:r w:rsidR="0085713F">
        <w:rPr>
          <w:u w:val="single"/>
        </w:rPr>
        <w:t>(1)</w:t>
      </w:r>
      <w:r w:rsidR="0085713F">
        <w:tab/>
      </w:r>
      <w:r w:rsidR="0085713F">
        <w:rPr>
          <w:u w:val="single"/>
        </w:rPr>
        <w:t>The</w:t>
      </w:r>
      <w:r w:rsidR="00B93C6A">
        <w:rPr>
          <w:u w:val="single"/>
        </w:rPr>
        <w:t xml:space="preserve"> court of common pleas </w:t>
      </w:r>
      <w:r w:rsidR="0085713F">
        <w:rPr>
          <w:u w:val="single"/>
        </w:rPr>
        <w:t xml:space="preserve">shall submit a </w:t>
      </w:r>
      <w:r w:rsidR="00426393">
        <w:rPr>
          <w:u w:val="single"/>
        </w:rPr>
        <w:t xml:space="preserve">written </w:t>
      </w:r>
      <w:r w:rsidR="0085713F">
        <w:rPr>
          <w:u w:val="single"/>
        </w:rPr>
        <w:t>request for</w:t>
      </w:r>
      <w:r w:rsidR="00CF5B79">
        <w:rPr>
          <w:u w:val="single"/>
        </w:rPr>
        <w:t xml:space="preserve"> either</w:t>
      </w:r>
      <w:r w:rsidR="0085713F">
        <w:rPr>
          <w:u w:val="single"/>
        </w:rPr>
        <w:t xml:space="preserve"> </w:t>
      </w:r>
      <w:r w:rsidR="00B93C6A">
        <w:rPr>
          <w:u w:val="single"/>
        </w:rPr>
        <w:t>designation or assignment of commercial docket judges</w:t>
      </w:r>
      <w:r w:rsidR="00CF5B79">
        <w:rPr>
          <w:u w:val="single"/>
        </w:rPr>
        <w:t xml:space="preserve"> </w:t>
      </w:r>
      <w:r w:rsidR="00426393">
        <w:rPr>
          <w:u w:val="single"/>
        </w:rPr>
        <w:t xml:space="preserve">to </w:t>
      </w:r>
      <w:r w:rsidR="00CF5B79">
        <w:rPr>
          <w:u w:val="single"/>
        </w:rPr>
        <w:t>the commercial docket</w:t>
      </w:r>
      <w:r w:rsidR="00B93C6A">
        <w:t xml:space="preserve"> </w:t>
      </w:r>
      <w:r w:rsidRPr="009F076E">
        <w:t>subcommittee of the Advisory Committee on Case Management</w:t>
      </w:r>
      <w:r w:rsidR="0085713F">
        <w:rPr>
          <w:u w:val="single"/>
        </w:rPr>
        <w:t xml:space="preserve">.  </w:t>
      </w:r>
      <w:r w:rsidR="00CF5B79">
        <w:rPr>
          <w:u w:val="single"/>
        </w:rPr>
        <w:t xml:space="preserve">The request shall include the names of any candidates for designation or assignment, as applicable, as commercial docket judges.  </w:t>
      </w:r>
      <w:r w:rsidR="0085713F">
        <w:rPr>
          <w:u w:val="single"/>
        </w:rPr>
        <w:t>The subcommittee</w:t>
      </w:r>
      <w:r w:rsidRPr="009F076E">
        <w:t xml:space="preserve"> shall </w:t>
      </w:r>
      <w:r w:rsidRPr="00426393">
        <w:rPr>
          <w:strike/>
        </w:rPr>
        <w:t>recommend</w:t>
      </w:r>
      <w:r w:rsidRPr="0085713F">
        <w:t xml:space="preserve"> </w:t>
      </w:r>
      <w:r w:rsidR="00426393">
        <w:rPr>
          <w:u w:val="single"/>
        </w:rPr>
        <w:t>submit a written report</w:t>
      </w:r>
      <w:r w:rsidR="00426393">
        <w:t xml:space="preserve"> </w:t>
      </w:r>
      <w:r w:rsidRPr="009F076E">
        <w:t xml:space="preserve">to the Chief Justice </w:t>
      </w:r>
      <w:r w:rsidR="00426393" w:rsidRPr="00426393">
        <w:rPr>
          <w:u w:val="single"/>
        </w:rPr>
        <w:t>recommending the number of commercial docket judges for</w:t>
      </w:r>
      <w:r w:rsidR="00426393">
        <w:rPr>
          <w:u w:val="single"/>
        </w:rPr>
        <w:t xml:space="preserve"> </w:t>
      </w:r>
      <w:r w:rsidR="00426393" w:rsidRPr="00426393">
        <w:rPr>
          <w:u w:val="single"/>
        </w:rPr>
        <w:t>the court</w:t>
      </w:r>
      <w:r w:rsidR="00426393">
        <w:rPr>
          <w:u w:val="single"/>
        </w:rPr>
        <w:t xml:space="preserve"> </w:t>
      </w:r>
      <w:r w:rsidR="00426393" w:rsidRPr="00426393">
        <w:rPr>
          <w:u w:val="single"/>
        </w:rPr>
        <w:t>and</w:t>
      </w:r>
      <w:r w:rsidR="00426393">
        <w:t xml:space="preserve"> </w:t>
      </w:r>
      <w:r w:rsidRPr="00426393">
        <w:t>candidates</w:t>
      </w:r>
      <w:r w:rsidRPr="009F076E">
        <w:t xml:space="preserve"> for designation or assignment</w:t>
      </w:r>
      <w:r w:rsidR="00CF5B79">
        <w:rPr>
          <w:u w:val="single"/>
        </w:rPr>
        <w:t>, as applicable,</w:t>
      </w:r>
      <w:r w:rsidRPr="009F076E">
        <w:t xml:space="preserve"> </w:t>
      </w:r>
      <w:r w:rsidRPr="0012318F">
        <w:t xml:space="preserve">as commercial docket judges </w:t>
      </w:r>
      <w:r w:rsidRPr="0012318F">
        <w:rPr>
          <w:strike/>
        </w:rPr>
        <w:t>and the number of commercial docket judges for each court</w:t>
      </w:r>
      <w:r w:rsidRPr="009F076E">
        <w:t>.</w:t>
      </w:r>
      <w:r w:rsidR="00426393">
        <w:t xml:space="preserve">  </w:t>
      </w:r>
      <w:r w:rsidR="003072BC" w:rsidRPr="003072BC">
        <w:rPr>
          <w:u w:val="single"/>
        </w:rPr>
        <w:t xml:space="preserve">In reviewing </w:t>
      </w:r>
      <w:r w:rsidR="00932B5E">
        <w:rPr>
          <w:u w:val="single"/>
        </w:rPr>
        <w:t xml:space="preserve">a </w:t>
      </w:r>
      <w:r w:rsidR="003072BC" w:rsidRPr="003072BC">
        <w:rPr>
          <w:u w:val="single"/>
        </w:rPr>
        <w:t xml:space="preserve">candidate, the subcommittee </w:t>
      </w:r>
      <w:r w:rsidR="003072BC">
        <w:rPr>
          <w:u w:val="single"/>
        </w:rPr>
        <w:t xml:space="preserve">shall consider </w:t>
      </w:r>
      <w:r w:rsidR="00932B5E">
        <w:rPr>
          <w:u w:val="single"/>
        </w:rPr>
        <w:t>each</w:t>
      </w:r>
      <w:r w:rsidR="003072BC">
        <w:rPr>
          <w:u w:val="single"/>
        </w:rPr>
        <w:t xml:space="preserve"> of</w:t>
      </w:r>
      <w:r w:rsidR="003072BC" w:rsidRPr="003072BC">
        <w:rPr>
          <w:u w:val="single"/>
        </w:rPr>
        <w:t xml:space="preserve"> the following:</w:t>
      </w:r>
      <w:r w:rsidR="003072BC">
        <w:rPr>
          <w:color w:val="FF0000"/>
        </w:rPr>
        <w:t xml:space="preserve">  </w:t>
      </w:r>
    </w:p>
    <w:p w:rsidR="00A9713F" w:rsidRPr="00A9713F" w:rsidRDefault="00A9713F" w:rsidP="00797A47">
      <w:pPr>
        <w:ind w:left="720"/>
        <w:jc w:val="both"/>
        <w:rPr>
          <w:u w:val="single"/>
        </w:rPr>
      </w:pPr>
    </w:p>
    <w:p w:rsidR="00456F5D" w:rsidRPr="00456F5D" w:rsidRDefault="00456F5D" w:rsidP="00932B5E">
      <w:pPr>
        <w:ind w:left="1440"/>
        <w:jc w:val="both"/>
        <w:rPr>
          <w:u w:val="single"/>
        </w:rPr>
      </w:pPr>
      <w:r>
        <w:rPr>
          <w:u w:val="single"/>
        </w:rPr>
        <w:t>(1)</w:t>
      </w:r>
      <w:r>
        <w:tab/>
      </w:r>
      <w:r w:rsidR="00932B5E">
        <w:rPr>
          <w:u w:val="single"/>
        </w:rPr>
        <w:t>The candidate’s l</w:t>
      </w:r>
      <w:r w:rsidRPr="009F076E">
        <w:rPr>
          <w:u w:val="single"/>
        </w:rPr>
        <w:t>ength</w:t>
      </w:r>
      <w:r w:rsidRPr="00456F5D">
        <w:rPr>
          <w:u w:val="single"/>
        </w:rPr>
        <w:t xml:space="preserve"> of judicial experience;</w:t>
      </w:r>
    </w:p>
    <w:p w:rsidR="00456F5D" w:rsidRPr="00456F5D" w:rsidRDefault="00456F5D" w:rsidP="00932B5E">
      <w:pPr>
        <w:ind w:left="1440"/>
        <w:jc w:val="both"/>
        <w:rPr>
          <w:u w:val="single"/>
        </w:rPr>
      </w:pPr>
    </w:p>
    <w:p w:rsidR="00932B5E" w:rsidRPr="00932B5E" w:rsidRDefault="00456F5D" w:rsidP="00932B5E">
      <w:pPr>
        <w:ind w:left="1440"/>
        <w:jc w:val="both"/>
        <w:rPr>
          <w:u w:val="single"/>
        </w:rPr>
      </w:pPr>
      <w:r>
        <w:rPr>
          <w:u w:val="single"/>
        </w:rPr>
        <w:t>(2)</w:t>
      </w:r>
      <w:r>
        <w:tab/>
      </w:r>
      <w:r w:rsidR="00932B5E">
        <w:rPr>
          <w:u w:val="single"/>
        </w:rPr>
        <w:t>Any</w:t>
      </w:r>
      <w:r w:rsidR="00932B5E" w:rsidRPr="00932B5E">
        <w:rPr>
          <w:u w:val="single"/>
        </w:rPr>
        <w:t xml:space="preserve"> commercial or business</w:t>
      </w:r>
      <w:r w:rsidR="00521A93">
        <w:rPr>
          <w:u w:val="single"/>
        </w:rPr>
        <w:t xml:space="preserve">-related </w:t>
      </w:r>
      <w:r w:rsidR="00932B5E" w:rsidRPr="00932B5E">
        <w:rPr>
          <w:u w:val="single"/>
        </w:rPr>
        <w:t>education or experience</w:t>
      </w:r>
      <w:r w:rsidR="00932B5E">
        <w:rPr>
          <w:u w:val="single"/>
        </w:rPr>
        <w:t xml:space="preserve"> the candidate may possess</w:t>
      </w:r>
      <w:r w:rsidR="00932B5E" w:rsidRPr="00932B5E">
        <w:rPr>
          <w:u w:val="single"/>
        </w:rPr>
        <w:t>;</w:t>
      </w:r>
    </w:p>
    <w:p w:rsidR="00932B5E" w:rsidRDefault="00932B5E" w:rsidP="00932B5E">
      <w:pPr>
        <w:ind w:left="1440"/>
        <w:jc w:val="both"/>
        <w:rPr>
          <w:u w:val="single"/>
        </w:rPr>
      </w:pPr>
    </w:p>
    <w:p w:rsidR="00456F5D" w:rsidRDefault="00932B5E" w:rsidP="00932B5E">
      <w:pPr>
        <w:ind w:left="1440"/>
        <w:jc w:val="both"/>
        <w:rPr>
          <w:u w:val="single"/>
        </w:rPr>
      </w:pPr>
      <w:r>
        <w:rPr>
          <w:u w:val="single"/>
        </w:rPr>
        <w:t>(3)</w:t>
      </w:r>
      <w:r>
        <w:tab/>
      </w:r>
      <w:r w:rsidRPr="00932B5E">
        <w:rPr>
          <w:u w:val="single"/>
        </w:rPr>
        <w:t>Any c</w:t>
      </w:r>
      <w:r w:rsidR="00456F5D" w:rsidRPr="00932B5E">
        <w:rPr>
          <w:u w:val="single"/>
        </w:rPr>
        <w:t xml:space="preserve">ommercial </w:t>
      </w:r>
      <w:r w:rsidRPr="00932B5E">
        <w:rPr>
          <w:u w:val="single"/>
        </w:rPr>
        <w:t>or business</w:t>
      </w:r>
      <w:r w:rsidR="00521A93">
        <w:rPr>
          <w:u w:val="single"/>
        </w:rPr>
        <w:t>-related</w:t>
      </w:r>
      <w:r>
        <w:rPr>
          <w:u w:val="single"/>
        </w:rPr>
        <w:t xml:space="preserve"> </w:t>
      </w:r>
      <w:r w:rsidR="00456F5D" w:rsidRPr="00D336ED">
        <w:rPr>
          <w:u w:val="single"/>
        </w:rPr>
        <w:t>litigation experience</w:t>
      </w:r>
      <w:r w:rsidRPr="00932B5E">
        <w:rPr>
          <w:u w:val="single"/>
        </w:rPr>
        <w:t xml:space="preserve"> </w:t>
      </w:r>
      <w:r>
        <w:rPr>
          <w:u w:val="single"/>
        </w:rPr>
        <w:t>the candidate may possess</w:t>
      </w:r>
      <w:r w:rsidR="00D336ED" w:rsidRPr="00D336ED">
        <w:rPr>
          <w:u w:val="single"/>
        </w:rPr>
        <w:t xml:space="preserve">, </w:t>
      </w:r>
      <w:r w:rsidR="003072BC" w:rsidRPr="00D336ED">
        <w:rPr>
          <w:u w:val="single"/>
        </w:rPr>
        <w:t>including any</w:t>
      </w:r>
      <w:r w:rsidR="00D336ED" w:rsidRPr="00D336ED">
        <w:rPr>
          <w:u w:val="single"/>
        </w:rPr>
        <w:t xml:space="preserve"> specific </w:t>
      </w:r>
      <w:r w:rsidR="00521A93" w:rsidRPr="00D336ED">
        <w:rPr>
          <w:u w:val="single"/>
        </w:rPr>
        <w:t>commercial</w:t>
      </w:r>
      <w:r w:rsidR="00521A93">
        <w:rPr>
          <w:u w:val="single"/>
        </w:rPr>
        <w:t xml:space="preserve"> or business-related</w:t>
      </w:r>
      <w:r w:rsidR="00521A93" w:rsidRPr="00D336ED">
        <w:rPr>
          <w:u w:val="single"/>
        </w:rPr>
        <w:t xml:space="preserve"> </w:t>
      </w:r>
      <w:r>
        <w:rPr>
          <w:u w:val="single"/>
        </w:rPr>
        <w:t>litigation</w:t>
      </w:r>
      <w:r w:rsidR="00D336ED" w:rsidRPr="00D336ED">
        <w:rPr>
          <w:u w:val="single"/>
        </w:rPr>
        <w:t xml:space="preserve"> </w:t>
      </w:r>
      <w:r>
        <w:rPr>
          <w:u w:val="single"/>
        </w:rPr>
        <w:t xml:space="preserve">in which the candidate participated as an attorney or </w:t>
      </w:r>
      <w:r w:rsidR="00D336ED" w:rsidRPr="00D336ED">
        <w:rPr>
          <w:u w:val="single"/>
        </w:rPr>
        <w:t xml:space="preserve">over </w:t>
      </w:r>
      <w:r w:rsidR="003072BC" w:rsidRPr="00D336ED">
        <w:rPr>
          <w:u w:val="single"/>
        </w:rPr>
        <w:t>which the</w:t>
      </w:r>
      <w:r w:rsidR="00D336ED" w:rsidRPr="00D336ED">
        <w:rPr>
          <w:u w:val="single"/>
        </w:rPr>
        <w:t xml:space="preserve"> candidate presided</w:t>
      </w:r>
      <w:r>
        <w:rPr>
          <w:u w:val="single"/>
        </w:rPr>
        <w:t xml:space="preserve"> as a judge</w:t>
      </w:r>
      <w:r w:rsidR="00456F5D" w:rsidRPr="00456F5D">
        <w:rPr>
          <w:u w:val="single"/>
        </w:rPr>
        <w:t>;</w:t>
      </w:r>
    </w:p>
    <w:p w:rsidR="003072BC" w:rsidRDefault="003072BC" w:rsidP="00932B5E">
      <w:pPr>
        <w:ind w:left="1440"/>
        <w:jc w:val="both"/>
        <w:rPr>
          <w:u w:val="single"/>
        </w:rPr>
      </w:pPr>
    </w:p>
    <w:p w:rsidR="003072BC" w:rsidRDefault="003072BC" w:rsidP="00932B5E">
      <w:pPr>
        <w:ind w:left="1440"/>
        <w:jc w:val="both"/>
        <w:rPr>
          <w:u w:val="single"/>
        </w:rPr>
      </w:pPr>
      <w:r w:rsidRPr="00932B5E">
        <w:rPr>
          <w:u w:val="single"/>
        </w:rPr>
        <w:t>(</w:t>
      </w:r>
      <w:r w:rsidR="00932B5E">
        <w:rPr>
          <w:u w:val="single"/>
        </w:rPr>
        <w:t>4</w:t>
      </w:r>
      <w:r w:rsidRPr="00932B5E">
        <w:rPr>
          <w:u w:val="single"/>
        </w:rPr>
        <w:t>)</w:t>
      </w:r>
      <w:r>
        <w:tab/>
      </w:r>
      <w:r w:rsidR="00932B5E" w:rsidRPr="00932B5E">
        <w:rPr>
          <w:u w:val="single"/>
        </w:rPr>
        <w:t>The candidate’s c</w:t>
      </w:r>
      <w:r w:rsidRPr="00932B5E">
        <w:rPr>
          <w:u w:val="single"/>
        </w:rPr>
        <w:t>ase management</w:t>
      </w:r>
      <w:r w:rsidRPr="003072BC">
        <w:rPr>
          <w:u w:val="single"/>
        </w:rPr>
        <w:t xml:space="preserve"> </w:t>
      </w:r>
      <w:r w:rsidR="00932B5E" w:rsidRPr="003072BC">
        <w:rPr>
          <w:u w:val="single"/>
        </w:rPr>
        <w:t>expertise</w:t>
      </w:r>
      <w:r w:rsidRPr="003072BC">
        <w:rPr>
          <w:u w:val="single"/>
        </w:rPr>
        <w:t xml:space="preserve"> and experience, </w:t>
      </w:r>
      <w:r w:rsidR="00932B5E">
        <w:rPr>
          <w:u w:val="single"/>
        </w:rPr>
        <w:t>including</w:t>
      </w:r>
      <w:r w:rsidRPr="003072BC">
        <w:rPr>
          <w:u w:val="single"/>
        </w:rPr>
        <w:t xml:space="preserve"> </w:t>
      </w:r>
      <w:r w:rsidR="008F7A84">
        <w:rPr>
          <w:u w:val="single"/>
        </w:rPr>
        <w:t xml:space="preserve">case management of </w:t>
      </w:r>
      <w:r w:rsidRPr="003072BC">
        <w:rPr>
          <w:u w:val="single"/>
        </w:rPr>
        <w:t xml:space="preserve">complex </w:t>
      </w:r>
      <w:r w:rsidR="00932B5E">
        <w:rPr>
          <w:u w:val="single"/>
        </w:rPr>
        <w:t>litigation;</w:t>
      </w:r>
    </w:p>
    <w:p w:rsidR="008F7A84" w:rsidRDefault="008F7A84" w:rsidP="00932B5E">
      <w:pPr>
        <w:ind w:left="1440"/>
        <w:jc w:val="both"/>
        <w:rPr>
          <w:u w:val="single"/>
        </w:rPr>
      </w:pPr>
    </w:p>
    <w:p w:rsidR="009F076E" w:rsidRDefault="004D57A1" w:rsidP="00932B5E">
      <w:pPr>
        <w:ind w:left="1440"/>
        <w:jc w:val="both"/>
        <w:rPr>
          <w:u w:val="single"/>
        </w:rPr>
      </w:pPr>
      <w:r>
        <w:rPr>
          <w:u w:val="single"/>
        </w:rPr>
        <w:t>(5</w:t>
      </w:r>
      <w:r w:rsidR="00456F5D">
        <w:rPr>
          <w:u w:val="single"/>
        </w:rPr>
        <w:t>)</w:t>
      </w:r>
      <w:r w:rsidR="00456F5D">
        <w:tab/>
      </w:r>
      <w:r w:rsidR="008F7A84">
        <w:rPr>
          <w:u w:val="single"/>
        </w:rPr>
        <w:t>If applicable, t</w:t>
      </w:r>
      <w:r w:rsidRPr="004D57A1">
        <w:rPr>
          <w:u w:val="single"/>
        </w:rPr>
        <w:t>he candidate’s c</w:t>
      </w:r>
      <w:r w:rsidR="00456F5D" w:rsidRPr="004D57A1">
        <w:rPr>
          <w:u w:val="single"/>
        </w:rPr>
        <w:t>urrent</w:t>
      </w:r>
      <w:r w:rsidR="00456F5D" w:rsidRPr="00456F5D">
        <w:rPr>
          <w:u w:val="single"/>
        </w:rPr>
        <w:t xml:space="preserve"> caseload</w:t>
      </w:r>
      <w:r w:rsidR="00D336ED">
        <w:rPr>
          <w:u w:val="single"/>
        </w:rPr>
        <w:t xml:space="preserve">, including the </w:t>
      </w:r>
      <w:r>
        <w:rPr>
          <w:u w:val="single"/>
        </w:rPr>
        <w:t>number of</w:t>
      </w:r>
      <w:r w:rsidR="00D336ED">
        <w:rPr>
          <w:u w:val="single"/>
        </w:rPr>
        <w:t xml:space="preserve"> </w:t>
      </w:r>
      <w:r>
        <w:rPr>
          <w:u w:val="single"/>
        </w:rPr>
        <w:t xml:space="preserve">pending </w:t>
      </w:r>
      <w:r w:rsidR="00D336ED">
        <w:rPr>
          <w:u w:val="single"/>
        </w:rPr>
        <w:t>cases t</w:t>
      </w:r>
      <w:r>
        <w:rPr>
          <w:u w:val="single"/>
        </w:rPr>
        <w:t>he candidate may have that are beyond</w:t>
      </w:r>
      <w:r w:rsidR="00D336ED">
        <w:rPr>
          <w:u w:val="single"/>
        </w:rPr>
        <w:t xml:space="preserve"> the time limit</w:t>
      </w:r>
      <w:r>
        <w:rPr>
          <w:u w:val="single"/>
        </w:rPr>
        <w:t>s for disposition pursuant to Sup.R. 39</w:t>
      </w:r>
      <w:r w:rsidR="009F076E">
        <w:rPr>
          <w:u w:val="single"/>
        </w:rPr>
        <w:t>;</w:t>
      </w:r>
    </w:p>
    <w:p w:rsidR="009F076E" w:rsidRDefault="009F076E" w:rsidP="00932B5E">
      <w:pPr>
        <w:ind w:left="1440"/>
        <w:jc w:val="both"/>
        <w:rPr>
          <w:u w:val="single"/>
        </w:rPr>
      </w:pPr>
    </w:p>
    <w:p w:rsidR="00253DED" w:rsidRDefault="004D57A1" w:rsidP="00932B5E">
      <w:pPr>
        <w:ind w:left="1440"/>
        <w:jc w:val="both"/>
        <w:rPr>
          <w:u w:val="single"/>
        </w:rPr>
      </w:pPr>
      <w:r>
        <w:rPr>
          <w:u w:val="single"/>
        </w:rPr>
        <w:t>(6</w:t>
      </w:r>
      <w:r w:rsidR="009F076E">
        <w:rPr>
          <w:u w:val="single"/>
        </w:rPr>
        <w:t>)</w:t>
      </w:r>
      <w:r w:rsidR="009F076E">
        <w:tab/>
      </w:r>
      <w:r w:rsidRPr="004D57A1">
        <w:rPr>
          <w:u w:val="single"/>
        </w:rPr>
        <w:t>Whether the candidate</w:t>
      </w:r>
      <w:r w:rsidR="00601CE1" w:rsidRPr="00601CE1">
        <w:rPr>
          <w:u w:val="single"/>
        </w:rPr>
        <w:t xml:space="preserve"> </w:t>
      </w:r>
      <w:r w:rsidR="00706FAD">
        <w:rPr>
          <w:u w:val="single"/>
        </w:rPr>
        <w:t xml:space="preserve">has demonstrated a continuous </w:t>
      </w:r>
      <w:r w:rsidR="00601CE1" w:rsidRPr="00601CE1">
        <w:rPr>
          <w:u w:val="single"/>
        </w:rPr>
        <w:t>c</w:t>
      </w:r>
      <w:r w:rsidR="009F076E" w:rsidRPr="00601CE1">
        <w:rPr>
          <w:u w:val="single"/>
        </w:rPr>
        <w:t>ommitment to the commercial docket concept</w:t>
      </w:r>
      <w:r w:rsidR="00253DED">
        <w:rPr>
          <w:u w:val="single"/>
        </w:rPr>
        <w:t>;</w:t>
      </w:r>
      <w:r w:rsidR="003072BC">
        <w:rPr>
          <w:u w:val="single"/>
        </w:rPr>
        <w:t xml:space="preserve"> </w:t>
      </w:r>
    </w:p>
    <w:p w:rsidR="00253DED" w:rsidRDefault="00253DED" w:rsidP="00932B5E">
      <w:pPr>
        <w:ind w:left="1440"/>
        <w:jc w:val="both"/>
        <w:rPr>
          <w:u w:val="single"/>
        </w:rPr>
      </w:pPr>
    </w:p>
    <w:p w:rsidR="00357FB3" w:rsidRDefault="00253DED" w:rsidP="00932B5E">
      <w:pPr>
        <w:ind w:left="1440"/>
        <w:jc w:val="both"/>
        <w:rPr>
          <w:u w:val="single"/>
        </w:rPr>
      </w:pPr>
      <w:r>
        <w:rPr>
          <w:u w:val="single"/>
        </w:rPr>
        <w:t>(7)</w:t>
      </w:r>
      <w:r>
        <w:tab/>
      </w:r>
      <w:r>
        <w:rPr>
          <w:u w:val="single"/>
        </w:rPr>
        <w:t xml:space="preserve">Whether the candidate demonstrates a </w:t>
      </w:r>
      <w:r w:rsidR="003072BC">
        <w:rPr>
          <w:u w:val="single"/>
        </w:rPr>
        <w:t xml:space="preserve">willingness to </w:t>
      </w:r>
      <w:r w:rsidR="004D57A1">
        <w:rPr>
          <w:u w:val="single"/>
        </w:rPr>
        <w:t xml:space="preserve">assume </w:t>
      </w:r>
      <w:r w:rsidR="00521A93">
        <w:rPr>
          <w:u w:val="single"/>
        </w:rPr>
        <w:t xml:space="preserve">any </w:t>
      </w:r>
      <w:r w:rsidR="004D57A1" w:rsidRPr="00521A93">
        <w:rPr>
          <w:u w:val="single"/>
        </w:rPr>
        <w:t xml:space="preserve">additional </w:t>
      </w:r>
      <w:r w:rsidR="00521A93" w:rsidRPr="00521A93">
        <w:rPr>
          <w:u w:val="single"/>
        </w:rPr>
        <w:t xml:space="preserve">duties </w:t>
      </w:r>
      <w:r w:rsidR="008E7CA1">
        <w:rPr>
          <w:u w:val="single"/>
        </w:rPr>
        <w:t>and</w:t>
      </w:r>
      <w:r w:rsidR="00521A93" w:rsidRPr="00521A93">
        <w:rPr>
          <w:u w:val="single"/>
        </w:rPr>
        <w:t xml:space="preserve"> responsibilities</w:t>
      </w:r>
      <w:r w:rsidR="004D57A1">
        <w:rPr>
          <w:u w:val="single"/>
        </w:rPr>
        <w:t xml:space="preserve"> required by the commercial docket</w:t>
      </w:r>
      <w:r w:rsidR="00357FB3" w:rsidRPr="00601CE1">
        <w:rPr>
          <w:u w:val="single"/>
        </w:rPr>
        <w:t>;</w:t>
      </w:r>
    </w:p>
    <w:p w:rsidR="003072BC" w:rsidRDefault="003072BC" w:rsidP="00932B5E">
      <w:pPr>
        <w:ind w:left="1440"/>
        <w:jc w:val="both"/>
        <w:rPr>
          <w:u w:val="single"/>
        </w:rPr>
      </w:pPr>
    </w:p>
    <w:p w:rsidR="003072BC" w:rsidRPr="00601CE1" w:rsidRDefault="003072BC" w:rsidP="00932B5E">
      <w:pPr>
        <w:ind w:left="1440"/>
        <w:jc w:val="both"/>
        <w:rPr>
          <w:u w:val="single"/>
        </w:rPr>
      </w:pPr>
      <w:r>
        <w:rPr>
          <w:u w:val="single"/>
        </w:rPr>
        <w:t>(</w:t>
      </w:r>
      <w:r w:rsidR="00253DED">
        <w:rPr>
          <w:u w:val="single"/>
        </w:rPr>
        <w:t>8</w:t>
      </w:r>
      <w:r>
        <w:rPr>
          <w:u w:val="single"/>
        </w:rPr>
        <w:t>)</w:t>
      </w:r>
      <w:r w:rsidRPr="003072BC">
        <w:tab/>
      </w:r>
      <w:r w:rsidR="004D57A1" w:rsidRPr="004D57A1">
        <w:rPr>
          <w:u w:val="single"/>
        </w:rPr>
        <w:t>Whether the candidate demonstrates a w</w:t>
      </w:r>
      <w:r w:rsidRPr="004D57A1">
        <w:rPr>
          <w:u w:val="single"/>
        </w:rPr>
        <w:t>illingness</w:t>
      </w:r>
      <w:r>
        <w:rPr>
          <w:u w:val="single"/>
        </w:rPr>
        <w:t xml:space="preserve"> to participate in commercial </w:t>
      </w:r>
      <w:r w:rsidR="004D57A1">
        <w:rPr>
          <w:u w:val="single"/>
        </w:rPr>
        <w:t>and</w:t>
      </w:r>
      <w:r w:rsidR="008E7CA1">
        <w:rPr>
          <w:u w:val="single"/>
        </w:rPr>
        <w:t xml:space="preserve"> business law-</w:t>
      </w:r>
      <w:r w:rsidR="004D57A1">
        <w:rPr>
          <w:u w:val="single"/>
        </w:rPr>
        <w:t xml:space="preserve">related </w:t>
      </w:r>
      <w:r>
        <w:rPr>
          <w:u w:val="single"/>
        </w:rPr>
        <w:t>training and education;</w:t>
      </w:r>
    </w:p>
    <w:p w:rsidR="00357FB3" w:rsidRDefault="00357FB3" w:rsidP="00932B5E">
      <w:pPr>
        <w:ind w:left="1440"/>
        <w:jc w:val="both"/>
        <w:rPr>
          <w:u w:val="single"/>
        </w:rPr>
      </w:pPr>
    </w:p>
    <w:p w:rsidR="00314033" w:rsidRPr="00314033" w:rsidRDefault="00253DED" w:rsidP="00932B5E">
      <w:pPr>
        <w:ind w:left="1440"/>
        <w:jc w:val="both"/>
        <w:rPr>
          <w:u w:val="single"/>
        </w:rPr>
      </w:pPr>
      <w:r>
        <w:rPr>
          <w:u w:val="single"/>
        </w:rPr>
        <w:t>(9</w:t>
      </w:r>
      <w:r w:rsidR="00357FB3">
        <w:rPr>
          <w:u w:val="single"/>
        </w:rPr>
        <w:t>)</w:t>
      </w:r>
      <w:r w:rsidR="00357FB3">
        <w:t xml:space="preserve"> </w:t>
      </w:r>
      <w:r w:rsidR="00357FB3">
        <w:tab/>
      </w:r>
      <w:r w:rsidR="00314033" w:rsidRPr="00314033">
        <w:rPr>
          <w:u w:val="single"/>
        </w:rPr>
        <w:t>The candidate</w:t>
      </w:r>
      <w:r w:rsidR="00314033">
        <w:rPr>
          <w:u w:val="single"/>
        </w:rPr>
        <w:t>’s</w:t>
      </w:r>
      <w:r w:rsidR="00314033" w:rsidRPr="00314033">
        <w:rPr>
          <w:u w:val="single"/>
        </w:rPr>
        <w:t xml:space="preserve"> judicial temperament;</w:t>
      </w:r>
    </w:p>
    <w:p w:rsidR="00314033" w:rsidRDefault="00314033" w:rsidP="00932B5E">
      <w:pPr>
        <w:ind w:left="1440"/>
        <w:jc w:val="both"/>
        <w:rPr>
          <w:u w:val="single"/>
        </w:rPr>
      </w:pPr>
    </w:p>
    <w:p w:rsidR="008F7A84" w:rsidRDefault="00314033" w:rsidP="00932B5E">
      <w:pPr>
        <w:ind w:left="1440"/>
        <w:jc w:val="both"/>
        <w:rPr>
          <w:u w:val="single"/>
        </w:rPr>
      </w:pPr>
      <w:r>
        <w:rPr>
          <w:u w:val="single"/>
        </w:rPr>
        <w:t>(</w:t>
      </w:r>
      <w:r w:rsidR="00253DED">
        <w:rPr>
          <w:u w:val="single"/>
        </w:rPr>
        <w:t>10</w:t>
      </w:r>
      <w:r>
        <w:rPr>
          <w:u w:val="single"/>
        </w:rPr>
        <w:t>)</w:t>
      </w:r>
      <w:r>
        <w:tab/>
      </w:r>
      <w:r w:rsidR="004D57A1" w:rsidRPr="004D57A1">
        <w:rPr>
          <w:u w:val="single"/>
        </w:rPr>
        <w:t>The i</w:t>
      </w:r>
      <w:r w:rsidR="00357FB3" w:rsidRPr="004D57A1">
        <w:rPr>
          <w:u w:val="single"/>
        </w:rPr>
        <w:t xml:space="preserve">nput </w:t>
      </w:r>
      <w:r w:rsidR="004D57A1" w:rsidRPr="004D57A1">
        <w:rPr>
          <w:u w:val="single"/>
        </w:rPr>
        <w:t>and</w:t>
      </w:r>
      <w:r w:rsidR="004D57A1">
        <w:rPr>
          <w:u w:val="single"/>
        </w:rPr>
        <w:t xml:space="preserve"> opinion of the </w:t>
      </w:r>
      <w:r w:rsidR="00357FB3" w:rsidRPr="00357FB3">
        <w:rPr>
          <w:u w:val="single"/>
        </w:rPr>
        <w:t>regional or local bar association</w:t>
      </w:r>
      <w:r w:rsidR="00AD2D5C">
        <w:rPr>
          <w:u w:val="single"/>
        </w:rPr>
        <w:t>s</w:t>
      </w:r>
      <w:r w:rsidR="008F7A84">
        <w:rPr>
          <w:u w:val="single"/>
        </w:rPr>
        <w:t>;</w:t>
      </w:r>
    </w:p>
    <w:p w:rsidR="008F7A84" w:rsidRDefault="008F7A84" w:rsidP="00932B5E">
      <w:pPr>
        <w:ind w:left="1440"/>
        <w:jc w:val="both"/>
        <w:rPr>
          <w:u w:val="single"/>
        </w:rPr>
      </w:pPr>
    </w:p>
    <w:p w:rsidR="004973A3" w:rsidRPr="00423CFD" w:rsidRDefault="008F7A84" w:rsidP="00932B5E">
      <w:pPr>
        <w:ind w:left="1440"/>
        <w:jc w:val="both"/>
        <w:rPr>
          <w:b/>
          <w:bCs/>
          <w:strike/>
        </w:rPr>
      </w:pPr>
      <w:r>
        <w:rPr>
          <w:u w:val="single"/>
        </w:rPr>
        <w:t>(</w:t>
      </w:r>
      <w:r w:rsidR="00314033">
        <w:rPr>
          <w:u w:val="single"/>
        </w:rPr>
        <w:t>1</w:t>
      </w:r>
      <w:r w:rsidR="00253DED">
        <w:rPr>
          <w:u w:val="single"/>
        </w:rPr>
        <w:t>1</w:t>
      </w:r>
      <w:r>
        <w:rPr>
          <w:u w:val="single"/>
        </w:rPr>
        <w:t>)</w:t>
      </w:r>
      <w:r>
        <w:tab/>
      </w:r>
      <w:r w:rsidRPr="008F7A84">
        <w:rPr>
          <w:u w:val="single"/>
        </w:rPr>
        <w:t>Any other factors or qualifications</w:t>
      </w:r>
      <w:r>
        <w:rPr>
          <w:u w:val="single"/>
        </w:rPr>
        <w:t xml:space="preserve"> the subcommittee determines to be relevant</w:t>
      </w:r>
      <w:r w:rsidR="00456F5D" w:rsidRPr="00456F5D">
        <w:rPr>
          <w:u w:val="single"/>
        </w:rPr>
        <w:t>.</w:t>
      </w:r>
    </w:p>
    <w:sectPr w:rsidR="004973A3" w:rsidRPr="00423CFD" w:rsidSect="00940E75">
      <w:pgSz w:w="12240" w:h="15840"/>
      <w:pgMar w:top="1440" w:right="1440" w:bottom="1440" w:left="1440" w:header="990" w:footer="1440" w:gutter="0"/>
      <w:lnNumType w:countBy="1" w:restart="continuous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9C1" w:rsidRDefault="00D449C1">
      <w:r>
        <w:separator/>
      </w:r>
    </w:p>
  </w:endnote>
  <w:endnote w:type="continuationSeparator" w:id="0">
    <w:p w:rsidR="00D449C1" w:rsidRDefault="00D44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4B" w:rsidRDefault="00D72A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4B" w:rsidRDefault="00D72A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4B" w:rsidRDefault="00D72A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9C1" w:rsidRDefault="00D449C1">
      <w:r>
        <w:separator/>
      </w:r>
    </w:p>
  </w:footnote>
  <w:footnote w:type="continuationSeparator" w:id="0">
    <w:p w:rsidR="00D449C1" w:rsidRDefault="00D44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4B" w:rsidRDefault="00D72A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2B" w:rsidRDefault="006372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2B" w:rsidRPr="00920C35" w:rsidRDefault="0063722B" w:rsidP="00920C35">
    <w:pPr>
      <w:pStyle w:val="Header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JMRLegalL1"/>
      <w:lvlText w:val="(%1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4"/>
        <w:u w:val="none"/>
      </w:rPr>
    </w:lvl>
    <w:lvl w:ilvl="1">
      <w:start w:val="1"/>
      <w:numFmt w:val="lowerLetter"/>
      <w:pStyle w:val="JMRLegal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4"/>
        <w:u w:val="none"/>
      </w:rPr>
    </w:lvl>
    <w:lvl w:ilvl="2">
      <w:start w:val="1"/>
      <w:numFmt w:val="none"/>
      <w:pStyle w:val="JMRLegalL3"/>
      <w:suff w:val="nothing"/>
      <w:lvlText w:val="?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4"/>
        <w:u w:val="none"/>
      </w:rPr>
    </w:lvl>
    <w:lvl w:ilvl="3">
      <w:start w:val="1"/>
      <w:numFmt w:val="decimal"/>
      <w:pStyle w:val="JMRLegalL4"/>
      <w:lvlText w:val="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4"/>
        <w:u w:val="none"/>
      </w:rPr>
    </w:lvl>
    <w:lvl w:ilvl="4">
      <w:start w:val="1"/>
      <w:numFmt w:val="decimal"/>
      <w:pStyle w:val="JMRLegalL5"/>
      <w:lvlText w:val="%2.%4.%5"/>
      <w:lvlJc w:val="left"/>
      <w:pPr>
        <w:tabs>
          <w:tab w:val="num" w:pos="4680"/>
        </w:tabs>
        <w:ind w:left="4680" w:hanging="1440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4"/>
        <w:u w:val="none"/>
      </w:rPr>
    </w:lvl>
    <w:lvl w:ilvl="5">
      <w:start w:val="1"/>
      <w:numFmt w:val="lowerLetter"/>
      <w:pStyle w:val="JMRLegalL6"/>
      <w:lvlText w:val="(%6)"/>
      <w:lvlJc w:val="left"/>
      <w:pPr>
        <w:tabs>
          <w:tab w:val="num" w:pos="5400"/>
        </w:tabs>
        <w:ind w:left="5400" w:hanging="720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4"/>
        <w:u w:val="none"/>
      </w:rPr>
    </w:lvl>
    <w:lvl w:ilvl="6">
      <w:start w:val="1"/>
      <w:numFmt w:val="lowerRoman"/>
      <w:pStyle w:val="JMRLegalL7"/>
      <w:lvlText w:val="(%7)"/>
      <w:lvlJc w:val="left"/>
      <w:pPr>
        <w:tabs>
          <w:tab w:val="num" w:pos="5400"/>
        </w:tabs>
        <w:ind w:left="5400" w:hanging="720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4"/>
        <w:u w:val="none"/>
      </w:rPr>
    </w:lvl>
    <w:lvl w:ilvl="7">
      <w:start w:val="1"/>
      <w:numFmt w:val="bullet"/>
      <w:pStyle w:val="JMRLegalL8"/>
      <w:lvlText w:val="·"/>
      <w:lvlJc w:val="left"/>
      <w:pPr>
        <w:tabs>
          <w:tab w:val="num" w:pos="5400"/>
        </w:tabs>
        <w:ind w:left="5400" w:hanging="720"/>
      </w:pPr>
      <w:rPr>
        <w:rFonts w:ascii="Symbol" w:hAnsi="Symbol" w:cs="Symbol"/>
        <w:b w:val="0"/>
        <w:i w:val="0"/>
        <w:caps w:val="0"/>
        <w:smallCaps w:val="0"/>
        <w:spacing w:val="0"/>
        <w:u w:val="none"/>
      </w:rPr>
    </w:lvl>
    <w:lvl w:ilvl="8">
      <w:start w:val="1"/>
      <w:numFmt w:val="bullet"/>
      <w:pStyle w:val="JMRLegalL9"/>
      <w:lvlText w:val="·"/>
      <w:lvlJc w:val="left"/>
      <w:pPr>
        <w:tabs>
          <w:tab w:val="num" w:pos="5400"/>
        </w:tabs>
        <w:ind w:left="5400" w:hanging="720"/>
      </w:pPr>
      <w:rPr>
        <w:rFonts w:ascii="Symbol" w:hAnsi="Symbol" w:cs="Symbol"/>
        <w:b w:val="0"/>
        <w:i w:val="0"/>
        <w:caps w:val="0"/>
        <w:smallCaps w:val="0"/>
        <w:spacing w:val="0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lowerLetter"/>
      <w:pStyle w:val="OUTLINEAL1"/>
      <w:lvlText w:val="(%1)"/>
      <w:lvlJc w:val="left"/>
      <w:pPr>
        <w:tabs>
          <w:tab w:val="num" w:pos="1908"/>
        </w:tabs>
        <w:ind w:left="190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embedSystemFonts/>
  <w:proofState w:spelling="clean" w:grammar="clean"/>
  <w:stylePaneFormatFilter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841F3"/>
    <w:rsid w:val="000263C8"/>
    <w:rsid w:val="000620D5"/>
    <w:rsid w:val="00095C69"/>
    <w:rsid w:val="000B3B86"/>
    <w:rsid w:val="000C6D3F"/>
    <w:rsid w:val="00115AA0"/>
    <w:rsid w:val="0012318F"/>
    <w:rsid w:val="00133981"/>
    <w:rsid w:val="00141976"/>
    <w:rsid w:val="001535D9"/>
    <w:rsid w:val="001611BD"/>
    <w:rsid w:val="001639D5"/>
    <w:rsid w:val="001D0443"/>
    <w:rsid w:val="001E1424"/>
    <w:rsid w:val="00207B45"/>
    <w:rsid w:val="00221C0A"/>
    <w:rsid w:val="00253DED"/>
    <w:rsid w:val="00262E7D"/>
    <w:rsid w:val="00274D67"/>
    <w:rsid w:val="00286D2F"/>
    <w:rsid w:val="002A5369"/>
    <w:rsid w:val="002E10A8"/>
    <w:rsid w:val="002F2F9F"/>
    <w:rsid w:val="003072BC"/>
    <w:rsid w:val="00314033"/>
    <w:rsid w:val="00337700"/>
    <w:rsid w:val="00357FB3"/>
    <w:rsid w:val="00372EB1"/>
    <w:rsid w:val="003E40FC"/>
    <w:rsid w:val="00405D4B"/>
    <w:rsid w:val="00423CFD"/>
    <w:rsid w:val="00426393"/>
    <w:rsid w:val="00437DB3"/>
    <w:rsid w:val="00440CE4"/>
    <w:rsid w:val="00456F5D"/>
    <w:rsid w:val="0046377B"/>
    <w:rsid w:val="00464A0E"/>
    <w:rsid w:val="004733F9"/>
    <w:rsid w:val="00485F11"/>
    <w:rsid w:val="004935AB"/>
    <w:rsid w:val="00494042"/>
    <w:rsid w:val="004973A3"/>
    <w:rsid w:val="004D57A1"/>
    <w:rsid w:val="004F3570"/>
    <w:rsid w:val="00521A93"/>
    <w:rsid w:val="00527E0E"/>
    <w:rsid w:val="0054287E"/>
    <w:rsid w:val="00556414"/>
    <w:rsid w:val="00556539"/>
    <w:rsid w:val="005601B3"/>
    <w:rsid w:val="00587F78"/>
    <w:rsid w:val="005B5A07"/>
    <w:rsid w:val="005B7FF9"/>
    <w:rsid w:val="005E2DA7"/>
    <w:rsid w:val="005F013C"/>
    <w:rsid w:val="005F7C2D"/>
    <w:rsid w:val="00601CE1"/>
    <w:rsid w:val="00602169"/>
    <w:rsid w:val="00606072"/>
    <w:rsid w:val="006264B3"/>
    <w:rsid w:val="006309EB"/>
    <w:rsid w:val="0063722B"/>
    <w:rsid w:val="006459D2"/>
    <w:rsid w:val="00646411"/>
    <w:rsid w:val="006B40C8"/>
    <w:rsid w:val="006B4941"/>
    <w:rsid w:val="006D5442"/>
    <w:rsid w:val="00704837"/>
    <w:rsid w:val="00706FAD"/>
    <w:rsid w:val="0073008E"/>
    <w:rsid w:val="0074204C"/>
    <w:rsid w:val="00773D27"/>
    <w:rsid w:val="00785ADA"/>
    <w:rsid w:val="00797A47"/>
    <w:rsid w:val="007B7BA7"/>
    <w:rsid w:val="007D43A7"/>
    <w:rsid w:val="00823FDB"/>
    <w:rsid w:val="00834A19"/>
    <w:rsid w:val="0083546B"/>
    <w:rsid w:val="0085713F"/>
    <w:rsid w:val="008749BB"/>
    <w:rsid w:val="00875671"/>
    <w:rsid w:val="0088624B"/>
    <w:rsid w:val="008A449E"/>
    <w:rsid w:val="008E328A"/>
    <w:rsid w:val="008E7CA1"/>
    <w:rsid w:val="008F544C"/>
    <w:rsid w:val="008F7A84"/>
    <w:rsid w:val="00920C35"/>
    <w:rsid w:val="00932B5E"/>
    <w:rsid w:val="00940E75"/>
    <w:rsid w:val="009576F5"/>
    <w:rsid w:val="009841F3"/>
    <w:rsid w:val="00986B80"/>
    <w:rsid w:val="00987EED"/>
    <w:rsid w:val="00996406"/>
    <w:rsid w:val="009F076E"/>
    <w:rsid w:val="009F131A"/>
    <w:rsid w:val="009F790A"/>
    <w:rsid w:val="00A12B64"/>
    <w:rsid w:val="00A21791"/>
    <w:rsid w:val="00A23435"/>
    <w:rsid w:val="00A312B6"/>
    <w:rsid w:val="00A350B3"/>
    <w:rsid w:val="00A41135"/>
    <w:rsid w:val="00A413E1"/>
    <w:rsid w:val="00A50B2C"/>
    <w:rsid w:val="00A95A45"/>
    <w:rsid w:val="00A9713F"/>
    <w:rsid w:val="00AD2D5C"/>
    <w:rsid w:val="00B05A5F"/>
    <w:rsid w:val="00B21983"/>
    <w:rsid w:val="00B44CC1"/>
    <w:rsid w:val="00B71CC2"/>
    <w:rsid w:val="00B76FB0"/>
    <w:rsid w:val="00B93C6A"/>
    <w:rsid w:val="00BB62F0"/>
    <w:rsid w:val="00BC4B28"/>
    <w:rsid w:val="00C04CFC"/>
    <w:rsid w:val="00C11B05"/>
    <w:rsid w:val="00C3332E"/>
    <w:rsid w:val="00C51D89"/>
    <w:rsid w:val="00C56A15"/>
    <w:rsid w:val="00C72E0E"/>
    <w:rsid w:val="00C91704"/>
    <w:rsid w:val="00CA1067"/>
    <w:rsid w:val="00CF5B79"/>
    <w:rsid w:val="00D14FA4"/>
    <w:rsid w:val="00D27DBE"/>
    <w:rsid w:val="00D336ED"/>
    <w:rsid w:val="00D449C1"/>
    <w:rsid w:val="00D72A4B"/>
    <w:rsid w:val="00D815CB"/>
    <w:rsid w:val="00D8783E"/>
    <w:rsid w:val="00D95509"/>
    <w:rsid w:val="00DC1F19"/>
    <w:rsid w:val="00E02863"/>
    <w:rsid w:val="00E2121C"/>
    <w:rsid w:val="00E33F8E"/>
    <w:rsid w:val="00E503B3"/>
    <w:rsid w:val="00E57FC6"/>
    <w:rsid w:val="00E610BF"/>
    <w:rsid w:val="00E63A46"/>
    <w:rsid w:val="00E93CDC"/>
    <w:rsid w:val="00E95831"/>
    <w:rsid w:val="00EB6A29"/>
    <w:rsid w:val="00EE00E2"/>
    <w:rsid w:val="00EF30E0"/>
    <w:rsid w:val="00F05988"/>
    <w:rsid w:val="00F26A9E"/>
    <w:rsid w:val="00F35035"/>
    <w:rsid w:val="00F400C7"/>
    <w:rsid w:val="00F44009"/>
    <w:rsid w:val="00F53CC5"/>
    <w:rsid w:val="00F71001"/>
    <w:rsid w:val="00FA2402"/>
    <w:rsid w:val="00FE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5E2DA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E2DA7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5E2DA7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E2DA7"/>
    <w:pPr>
      <w:keepNext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E2DA7"/>
    <w:rPr>
      <w:rFonts w:ascii="Times New Roman" w:hAnsi="Times New Roman" w:cs="Times New Roman"/>
      <w:b w:val="0"/>
      <w:i w:val="0"/>
      <w:caps w:val="0"/>
      <w:smallCaps w:val="0"/>
      <w:spacing w:val="0"/>
      <w:sz w:val="24"/>
      <w:u w:val="none"/>
    </w:rPr>
  </w:style>
  <w:style w:type="character" w:customStyle="1" w:styleId="WW8Num1z7">
    <w:name w:val="WW8Num1z7"/>
    <w:rsid w:val="005E2DA7"/>
    <w:rPr>
      <w:rFonts w:ascii="Symbol" w:hAnsi="Symbol" w:cs="Symbol"/>
      <w:b w:val="0"/>
      <w:i w:val="0"/>
      <w:caps w:val="0"/>
      <w:smallCaps w:val="0"/>
      <w:spacing w:val="0"/>
      <w:u w:val="none"/>
    </w:rPr>
  </w:style>
  <w:style w:type="character" w:customStyle="1" w:styleId="Absatz-Standardschriftart">
    <w:name w:val="Absatz-Standardschriftart"/>
    <w:rsid w:val="005E2DA7"/>
  </w:style>
  <w:style w:type="character" w:customStyle="1" w:styleId="WW8Num20z0">
    <w:name w:val="WW8Num20z0"/>
    <w:rsid w:val="005E2DA7"/>
    <w:rPr>
      <w:b/>
    </w:rPr>
  </w:style>
  <w:style w:type="character" w:customStyle="1" w:styleId="WW8Num21z4">
    <w:name w:val="WW8Num21z4"/>
    <w:rsid w:val="005E2DA7"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rsid w:val="005E2DA7"/>
    <w:rPr>
      <w:vertAlign w:val="superscript"/>
    </w:rPr>
  </w:style>
  <w:style w:type="character" w:styleId="PageNumber">
    <w:name w:val="page number"/>
    <w:basedOn w:val="DefaultParagraphFont"/>
    <w:rsid w:val="005E2DA7"/>
  </w:style>
  <w:style w:type="character" w:customStyle="1" w:styleId="term1">
    <w:name w:val="term1"/>
    <w:basedOn w:val="DefaultParagraphFont"/>
    <w:rsid w:val="005E2DA7"/>
    <w:rPr>
      <w:b/>
      <w:bCs/>
    </w:rPr>
  </w:style>
  <w:style w:type="character" w:styleId="Hyperlink">
    <w:name w:val="Hyperlink"/>
    <w:basedOn w:val="DefaultParagraphFont"/>
    <w:rsid w:val="005E2DA7"/>
    <w:rPr>
      <w:color w:val="0000FF"/>
      <w:u w:val="single"/>
    </w:rPr>
  </w:style>
  <w:style w:type="character" w:styleId="LineNumber">
    <w:name w:val="line number"/>
    <w:basedOn w:val="DefaultParagraphFont"/>
    <w:rsid w:val="005E2DA7"/>
  </w:style>
  <w:style w:type="character" w:customStyle="1" w:styleId="BodyTextChar">
    <w:name w:val="Body Text Char"/>
    <w:basedOn w:val="DefaultParagraphFont"/>
    <w:rsid w:val="005E2DA7"/>
    <w:rPr>
      <w:rFonts w:eastAsia="SimSun"/>
      <w:sz w:val="24"/>
      <w:szCs w:val="24"/>
    </w:rPr>
  </w:style>
  <w:style w:type="character" w:customStyle="1" w:styleId="DeltaViewInsertion">
    <w:name w:val="DeltaView Insertion"/>
    <w:rsid w:val="005E2DA7"/>
    <w:rPr>
      <w:color w:val="0000FF"/>
      <w:spacing w:val="0"/>
      <w:u w:val="double"/>
    </w:rPr>
  </w:style>
  <w:style w:type="character" w:customStyle="1" w:styleId="DeltaViewMoveDestination">
    <w:name w:val="DeltaView Move Destination"/>
    <w:rsid w:val="005E2DA7"/>
    <w:rPr>
      <w:color w:val="00C000"/>
      <w:spacing w:val="0"/>
      <w:u w:val="double"/>
    </w:rPr>
  </w:style>
  <w:style w:type="character" w:customStyle="1" w:styleId="Heading3Char">
    <w:name w:val="Heading 3 Char"/>
    <w:basedOn w:val="DefaultParagraphFont"/>
    <w:rsid w:val="005E2DA7"/>
    <w:rPr>
      <w:b/>
      <w:sz w:val="28"/>
    </w:rPr>
  </w:style>
  <w:style w:type="character" w:customStyle="1" w:styleId="FooterChar">
    <w:name w:val="Footer Char"/>
    <w:basedOn w:val="DefaultParagraphFont"/>
    <w:rsid w:val="005E2DA7"/>
    <w:rPr>
      <w:sz w:val="24"/>
      <w:szCs w:val="24"/>
    </w:rPr>
  </w:style>
  <w:style w:type="character" w:customStyle="1" w:styleId="Heading1Char">
    <w:name w:val="Heading 1 Char"/>
    <w:basedOn w:val="DefaultParagraphFont"/>
    <w:rsid w:val="005E2DA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DefaultParagraphFont"/>
    <w:rsid w:val="005E2DA7"/>
    <w:rPr>
      <w:rFonts w:eastAsia="Times New Roman"/>
      <w:b/>
      <w:bCs/>
      <w:iCs/>
      <w:sz w:val="28"/>
      <w:szCs w:val="28"/>
    </w:rPr>
  </w:style>
  <w:style w:type="character" w:customStyle="1" w:styleId="FootnoteTextChar">
    <w:name w:val="Footnote Text Char"/>
    <w:basedOn w:val="DefaultParagraphFont"/>
    <w:rsid w:val="005E2DA7"/>
  </w:style>
  <w:style w:type="character" w:styleId="CommentReference">
    <w:name w:val="annotation reference"/>
    <w:basedOn w:val="DefaultParagraphFont"/>
    <w:rsid w:val="005E2DA7"/>
    <w:rPr>
      <w:sz w:val="16"/>
      <w:szCs w:val="16"/>
    </w:rPr>
  </w:style>
  <w:style w:type="character" w:customStyle="1" w:styleId="CommentTextChar">
    <w:name w:val="Comment Text Char"/>
    <w:basedOn w:val="DefaultParagraphFont"/>
    <w:rsid w:val="005E2DA7"/>
  </w:style>
  <w:style w:type="character" w:customStyle="1" w:styleId="CommentSubjectChar">
    <w:name w:val="Comment Subject Char"/>
    <w:basedOn w:val="CommentTextChar"/>
    <w:rsid w:val="005E2DA7"/>
    <w:rPr>
      <w:b/>
      <w:bCs/>
    </w:rPr>
  </w:style>
  <w:style w:type="character" w:customStyle="1" w:styleId="ft">
    <w:name w:val="ft"/>
    <w:basedOn w:val="DefaultParagraphFont"/>
    <w:rsid w:val="005E2DA7"/>
  </w:style>
  <w:style w:type="character" w:styleId="FootnoteReference">
    <w:name w:val="footnote reference"/>
    <w:rsid w:val="005E2DA7"/>
    <w:rPr>
      <w:vertAlign w:val="superscript"/>
    </w:rPr>
  </w:style>
  <w:style w:type="character" w:customStyle="1" w:styleId="EndnoteCharacters">
    <w:name w:val="Endnote Characters"/>
    <w:rsid w:val="005E2DA7"/>
    <w:rPr>
      <w:vertAlign w:val="superscript"/>
    </w:rPr>
  </w:style>
  <w:style w:type="character" w:customStyle="1" w:styleId="WW-EndnoteCharacters">
    <w:name w:val="WW-Endnote Characters"/>
    <w:rsid w:val="005E2DA7"/>
  </w:style>
  <w:style w:type="character" w:styleId="EndnoteReference">
    <w:name w:val="endnote reference"/>
    <w:rsid w:val="005E2DA7"/>
    <w:rPr>
      <w:vertAlign w:val="superscript"/>
    </w:rPr>
  </w:style>
  <w:style w:type="paragraph" w:customStyle="1" w:styleId="Heading">
    <w:name w:val="Heading"/>
    <w:basedOn w:val="Normal"/>
    <w:next w:val="BodyText"/>
    <w:rsid w:val="005E2DA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rsid w:val="005E2DA7"/>
    <w:pPr>
      <w:autoSpaceDE w:val="0"/>
      <w:spacing w:after="240"/>
      <w:ind w:firstLine="720"/>
    </w:pPr>
    <w:rPr>
      <w:rFonts w:eastAsia="SimSun"/>
    </w:rPr>
  </w:style>
  <w:style w:type="paragraph" w:styleId="List">
    <w:name w:val="List"/>
    <w:basedOn w:val="BodyText"/>
    <w:rsid w:val="005E2DA7"/>
  </w:style>
  <w:style w:type="paragraph" w:styleId="Caption">
    <w:name w:val="caption"/>
    <w:basedOn w:val="Normal"/>
    <w:qFormat/>
    <w:rsid w:val="005E2D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E2DA7"/>
    <w:pPr>
      <w:suppressLineNumbers/>
    </w:pPr>
  </w:style>
  <w:style w:type="paragraph" w:styleId="Header">
    <w:name w:val="header"/>
    <w:basedOn w:val="Normal"/>
    <w:rsid w:val="005E2D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2DA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sid w:val="005E2DA7"/>
    <w:rPr>
      <w:sz w:val="20"/>
      <w:szCs w:val="20"/>
    </w:rPr>
  </w:style>
  <w:style w:type="paragraph" w:styleId="BalloonText">
    <w:name w:val="Balloon Text"/>
    <w:basedOn w:val="Normal"/>
    <w:rsid w:val="005E2D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E2DA7"/>
    <w:pPr>
      <w:spacing w:before="280" w:after="280"/>
    </w:pPr>
  </w:style>
  <w:style w:type="paragraph" w:customStyle="1" w:styleId="JMRLegalL1">
    <w:name w:val="JMRLegal_L1"/>
    <w:basedOn w:val="Normal"/>
    <w:next w:val="BodyText"/>
    <w:rsid w:val="005E2DA7"/>
    <w:pPr>
      <w:numPr>
        <w:numId w:val="1"/>
      </w:numPr>
      <w:autoSpaceDE w:val="0"/>
      <w:spacing w:line="480" w:lineRule="auto"/>
      <w:outlineLvl w:val="0"/>
    </w:pPr>
    <w:rPr>
      <w:rFonts w:eastAsia="SimSun"/>
      <w:szCs w:val="20"/>
    </w:rPr>
  </w:style>
  <w:style w:type="paragraph" w:customStyle="1" w:styleId="JMRLegalL2">
    <w:name w:val="JMRLegal_L2"/>
    <w:basedOn w:val="Normal"/>
    <w:next w:val="BodyText"/>
    <w:rsid w:val="005E2DA7"/>
    <w:pPr>
      <w:numPr>
        <w:ilvl w:val="1"/>
        <w:numId w:val="1"/>
      </w:numPr>
      <w:autoSpaceDE w:val="0"/>
      <w:spacing w:line="480" w:lineRule="auto"/>
      <w:outlineLvl w:val="1"/>
    </w:pPr>
    <w:rPr>
      <w:rFonts w:eastAsia="SimSun"/>
      <w:szCs w:val="20"/>
    </w:rPr>
  </w:style>
  <w:style w:type="paragraph" w:customStyle="1" w:styleId="JMRLegalL3">
    <w:name w:val="JMRLegal_L3"/>
    <w:basedOn w:val="Normal"/>
    <w:next w:val="BodyText"/>
    <w:rsid w:val="005E2DA7"/>
    <w:pPr>
      <w:numPr>
        <w:ilvl w:val="2"/>
        <w:numId w:val="1"/>
      </w:numPr>
      <w:autoSpaceDE w:val="0"/>
      <w:spacing w:after="240"/>
      <w:outlineLvl w:val="2"/>
    </w:pPr>
    <w:rPr>
      <w:rFonts w:eastAsia="SimSun"/>
      <w:szCs w:val="20"/>
    </w:rPr>
  </w:style>
  <w:style w:type="paragraph" w:customStyle="1" w:styleId="JMRLegalL4">
    <w:name w:val="JMRLegal_L4"/>
    <w:basedOn w:val="Normal"/>
    <w:next w:val="BodyText"/>
    <w:rsid w:val="005E2DA7"/>
    <w:pPr>
      <w:numPr>
        <w:ilvl w:val="3"/>
        <w:numId w:val="1"/>
      </w:numPr>
      <w:autoSpaceDE w:val="0"/>
      <w:spacing w:after="240"/>
      <w:outlineLvl w:val="3"/>
    </w:pPr>
    <w:rPr>
      <w:rFonts w:eastAsia="SimSun"/>
      <w:szCs w:val="20"/>
    </w:rPr>
  </w:style>
  <w:style w:type="paragraph" w:customStyle="1" w:styleId="JMRLegalL5">
    <w:name w:val="JMRLegal_L5"/>
    <w:basedOn w:val="Normal"/>
    <w:next w:val="BodyText"/>
    <w:rsid w:val="005E2DA7"/>
    <w:pPr>
      <w:numPr>
        <w:ilvl w:val="4"/>
        <w:numId w:val="1"/>
      </w:numPr>
      <w:autoSpaceDE w:val="0"/>
      <w:spacing w:after="240"/>
      <w:outlineLvl w:val="4"/>
    </w:pPr>
    <w:rPr>
      <w:rFonts w:eastAsia="SimSun"/>
      <w:szCs w:val="20"/>
    </w:rPr>
  </w:style>
  <w:style w:type="paragraph" w:customStyle="1" w:styleId="JMRLegalL6">
    <w:name w:val="JMRLegal_L6"/>
    <w:basedOn w:val="Normal"/>
    <w:next w:val="BodyText"/>
    <w:rsid w:val="005E2DA7"/>
    <w:pPr>
      <w:numPr>
        <w:ilvl w:val="5"/>
        <w:numId w:val="1"/>
      </w:numPr>
      <w:autoSpaceDE w:val="0"/>
      <w:spacing w:after="240"/>
      <w:outlineLvl w:val="5"/>
    </w:pPr>
    <w:rPr>
      <w:rFonts w:eastAsia="SimSun"/>
      <w:szCs w:val="20"/>
    </w:rPr>
  </w:style>
  <w:style w:type="paragraph" w:customStyle="1" w:styleId="JMRLegalL7">
    <w:name w:val="JMRLegal_L7"/>
    <w:basedOn w:val="JMRLegalL6"/>
    <w:next w:val="BodyText"/>
    <w:rsid w:val="005E2DA7"/>
    <w:pPr>
      <w:numPr>
        <w:ilvl w:val="6"/>
      </w:numPr>
      <w:tabs>
        <w:tab w:val="left" w:pos="720"/>
        <w:tab w:val="left" w:pos="3600"/>
      </w:tabs>
      <w:ind w:left="720" w:hanging="360"/>
      <w:outlineLvl w:val="6"/>
    </w:pPr>
  </w:style>
  <w:style w:type="paragraph" w:customStyle="1" w:styleId="JMRLegalL8">
    <w:name w:val="JMRLegal_L8"/>
    <w:basedOn w:val="JMRLegalL7"/>
    <w:next w:val="BodyText"/>
    <w:rsid w:val="005E2DA7"/>
    <w:pPr>
      <w:numPr>
        <w:ilvl w:val="7"/>
      </w:numPr>
      <w:ind w:left="3600" w:hanging="360"/>
      <w:outlineLvl w:val="7"/>
    </w:pPr>
  </w:style>
  <w:style w:type="paragraph" w:customStyle="1" w:styleId="JMRLegalL9">
    <w:name w:val="JMRLegal_L9"/>
    <w:basedOn w:val="JMRLegalL8"/>
    <w:next w:val="BodyText"/>
    <w:rsid w:val="005E2DA7"/>
    <w:pPr>
      <w:numPr>
        <w:ilvl w:val="8"/>
      </w:numPr>
      <w:ind w:left="3600" w:hanging="360"/>
      <w:outlineLvl w:val="8"/>
    </w:pPr>
  </w:style>
  <w:style w:type="paragraph" w:customStyle="1" w:styleId="WW-Default">
    <w:name w:val="WW-Default"/>
    <w:rsid w:val="005E2DA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BodyTextSingle">
    <w:name w:val="Body Text Single"/>
    <w:basedOn w:val="Normal"/>
    <w:rsid w:val="005E2DA7"/>
    <w:pPr>
      <w:spacing w:after="240"/>
      <w:jc w:val="both"/>
    </w:pPr>
  </w:style>
  <w:style w:type="paragraph" w:styleId="TOCHeading">
    <w:name w:val="TOC Heading"/>
    <w:basedOn w:val="Heading1"/>
    <w:next w:val="Normal"/>
    <w:qFormat/>
    <w:rsid w:val="005E2DA7"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uiPriority w:val="39"/>
    <w:rsid w:val="005E2DA7"/>
    <w:pPr>
      <w:tabs>
        <w:tab w:val="right" w:leader="dot" w:pos="8630"/>
      </w:tabs>
    </w:pPr>
    <w:rPr>
      <w:i/>
    </w:rPr>
  </w:style>
  <w:style w:type="paragraph" w:styleId="TOC2">
    <w:name w:val="toc 2"/>
    <w:basedOn w:val="Normal"/>
    <w:next w:val="Normal"/>
    <w:uiPriority w:val="39"/>
    <w:rsid w:val="005E2DA7"/>
    <w:pPr>
      <w:tabs>
        <w:tab w:val="left" w:pos="1440"/>
        <w:tab w:val="right" w:leader="dot" w:pos="8630"/>
      </w:tabs>
      <w:ind w:left="720"/>
    </w:pPr>
  </w:style>
  <w:style w:type="paragraph" w:styleId="TOC3">
    <w:name w:val="toc 3"/>
    <w:basedOn w:val="Normal"/>
    <w:next w:val="Normal"/>
    <w:uiPriority w:val="39"/>
    <w:rsid w:val="005E2DA7"/>
    <w:pPr>
      <w:ind w:left="480"/>
    </w:pPr>
  </w:style>
  <w:style w:type="paragraph" w:customStyle="1" w:styleId="OUTLINEAL1">
    <w:name w:val="OUTLINEA_L1"/>
    <w:basedOn w:val="Normal"/>
    <w:next w:val="BodyText"/>
    <w:rsid w:val="005E2DA7"/>
    <w:pPr>
      <w:numPr>
        <w:numId w:val="2"/>
      </w:numPr>
      <w:tabs>
        <w:tab w:val="left" w:pos="1440"/>
      </w:tabs>
      <w:autoSpaceDE w:val="0"/>
      <w:spacing w:after="240"/>
      <w:ind w:left="720" w:firstLine="0"/>
    </w:pPr>
    <w:rPr>
      <w:rFonts w:eastAsia="SimSun"/>
      <w:szCs w:val="20"/>
    </w:rPr>
  </w:style>
  <w:style w:type="paragraph" w:styleId="CommentText">
    <w:name w:val="annotation text"/>
    <w:basedOn w:val="Normal"/>
    <w:rsid w:val="005E2DA7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5E2DA7"/>
    <w:rPr>
      <w:b/>
      <w:bCs/>
    </w:rPr>
  </w:style>
  <w:style w:type="paragraph" w:customStyle="1" w:styleId="TableContents">
    <w:name w:val="Table Contents"/>
    <w:basedOn w:val="Normal"/>
    <w:rsid w:val="005E2DA7"/>
    <w:pPr>
      <w:suppressLineNumbers/>
    </w:pPr>
  </w:style>
  <w:style w:type="paragraph" w:customStyle="1" w:styleId="TableHeading">
    <w:name w:val="Table Heading"/>
    <w:basedOn w:val="TableContents"/>
    <w:rsid w:val="005E2DA7"/>
    <w:pPr>
      <w:jc w:val="center"/>
    </w:pPr>
    <w:rPr>
      <w:b/>
      <w:bCs/>
    </w:rPr>
  </w:style>
  <w:style w:type="paragraph" w:styleId="TOC4">
    <w:name w:val="toc 4"/>
    <w:basedOn w:val="Index"/>
    <w:rsid w:val="005E2DA7"/>
    <w:pPr>
      <w:tabs>
        <w:tab w:val="right" w:leader="dot" w:pos="9123"/>
      </w:tabs>
      <w:ind w:left="849"/>
    </w:pPr>
  </w:style>
  <w:style w:type="paragraph" w:styleId="TOC5">
    <w:name w:val="toc 5"/>
    <w:basedOn w:val="Index"/>
    <w:rsid w:val="005E2DA7"/>
    <w:pPr>
      <w:tabs>
        <w:tab w:val="right" w:leader="dot" w:pos="8840"/>
      </w:tabs>
      <w:ind w:left="1132"/>
    </w:pPr>
  </w:style>
  <w:style w:type="paragraph" w:styleId="TOC6">
    <w:name w:val="toc 6"/>
    <w:basedOn w:val="Index"/>
    <w:rsid w:val="005E2DA7"/>
    <w:pPr>
      <w:tabs>
        <w:tab w:val="right" w:leader="dot" w:pos="8557"/>
      </w:tabs>
      <w:ind w:left="1415"/>
    </w:pPr>
  </w:style>
  <w:style w:type="paragraph" w:styleId="TOC7">
    <w:name w:val="toc 7"/>
    <w:basedOn w:val="Index"/>
    <w:rsid w:val="005E2DA7"/>
    <w:pPr>
      <w:tabs>
        <w:tab w:val="right" w:leader="dot" w:pos="8274"/>
      </w:tabs>
      <w:ind w:left="1698"/>
    </w:pPr>
  </w:style>
  <w:style w:type="paragraph" w:styleId="TOC8">
    <w:name w:val="toc 8"/>
    <w:basedOn w:val="Index"/>
    <w:rsid w:val="005E2DA7"/>
    <w:pPr>
      <w:tabs>
        <w:tab w:val="right" w:leader="dot" w:pos="7991"/>
      </w:tabs>
      <w:ind w:left="1981"/>
    </w:pPr>
  </w:style>
  <w:style w:type="paragraph" w:styleId="TOC9">
    <w:name w:val="toc 9"/>
    <w:basedOn w:val="Index"/>
    <w:rsid w:val="005E2DA7"/>
    <w:pPr>
      <w:tabs>
        <w:tab w:val="right" w:leader="dot" w:pos="7708"/>
      </w:tabs>
      <w:ind w:left="2264"/>
    </w:pPr>
  </w:style>
  <w:style w:type="paragraph" w:customStyle="1" w:styleId="Contents10">
    <w:name w:val="Contents 10"/>
    <w:basedOn w:val="Index"/>
    <w:rsid w:val="005E2DA7"/>
    <w:pPr>
      <w:tabs>
        <w:tab w:val="right" w:leader="dot" w:pos="7425"/>
      </w:tabs>
      <w:ind w:left="2547"/>
    </w:pPr>
  </w:style>
  <w:style w:type="paragraph" w:customStyle="1" w:styleId="Default">
    <w:name w:val="Default"/>
    <w:rsid w:val="00D955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A312B6"/>
    <w:pPr>
      <w:suppressAutoHyphens w:val="0"/>
      <w:jc w:val="center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312B6"/>
    <w:rPr>
      <w:b/>
      <w:sz w:val="24"/>
    </w:rPr>
  </w:style>
  <w:style w:type="character" w:styleId="Strong">
    <w:name w:val="Strong"/>
    <w:basedOn w:val="DefaultParagraphFont"/>
    <w:qFormat/>
    <w:rsid w:val="00A312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lchc@sconet.state.oh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2014-06-09T16:31:00Z</dcterms:created>
  <dcterms:modified xsi:type="dcterms:W3CDTF">2014-06-09T16:31:00Z</dcterms:modified>
</cp:coreProperties>
</file>