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A27" w:rsidRDefault="00850A27" w:rsidP="00850A27">
      <w:pPr>
        <w:pStyle w:val="BodyTextIndent2"/>
        <w:jc w:val="center"/>
        <w:rPr>
          <w:b/>
          <w:caps/>
          <w:szCs w:val="24"/>
        </w:rPr>
      </w:pPr>
      <w:r>
        <w:rPr>
          <w:b/>
          <w:caps/>
          <w:szCs w:val="24"/>
        </w:rPr>
        <w:t xml:space="preserve">AMENDMENTS TO </w:t>
      </w:r>
    </w:p>
    <w:p w:rsidR="00850A27" w:rsidRDefault="00850A27" w:rsidP="00850A27">
      <w:pPr>
        <w:pStyle w:val="BodyTextIndent2"/>
        <w:jc w:val="center"/>
        <w:rPr>
          <w:b/>
          <w:caps/>
          <w:szCs w:val="24"/>
        </w:rPr>
      </w:pPr>
      <w:r w:rsidRPr="00573727">
        <w:rPr>
          <w:b/>
          <w:caps/>
          <w:szCs w:val="24"/>
        </w:rPr>
        <w:t>The Rules and Regulations</w:t>
      </w:r>
      <w:r>
        <w:rPr>
          <w:b/>
          <w:caps/>
          <w:szCs w:val="24"/>
        </w:rPr>
        <w:t xml:space="preserve"> </w:t>
      </w:r>
      <w:r w:rsidRPr="00573727">
        <w:rPr>
          <w:b/>
          <w:caps/>
          <w:szCs w:val="24"/>
        </w:rPr>
        <w:t>Governing Procedure on Complaints and Hearings</w:t>
      </w:r>
      <w:r>
        <w:rPr>
          <w:b/>
          <w:caps/>
          <w:szCs w:val="24"/>
        </w:rPr>
        <w:t xml:space="preserve"> </w:t>
      </w:r>
      <w:r w:rsidRPr="00573727">
        <w:rPr>
          <w:b/>
          <w:caps/>
          <w:szCs w:val="24"/>
        </w:rPr>
        <w:t>Before the Board of Commissioners on Grievances and Discipline of the Supreme Court</w:t>
      </w:r>
    </w:p>
    <w:p w:rsidR="00BC02FD" w:rsidRDefault="00BC02FD" w:rsidP="00850A27">
      <w:pPr>
        <w:pStyle w:val="BodyTextIndent2"/>
        <w:jc w:val="center"/>
        <w:rPr>
          <w:b/>
          <w:caps/>
          <w:szCs w:val="24"/>
        </w:rPr>
      </w:pPr>
    </w:p>
    <w:p w:rsidR="00BC02FD" w:rsidRDefault="00BC02FD" w:rsidP="00850A27">
      <w:pPr>
        <w:pStyle w:val="BodyTextIndent2"/>
        <w:jc w:val="center"/>
        <w:rPr>
          <w:b/>
          <w:caps/>
          <w:szCs w:val="24"/>
        </w:rPr>
      </w:pPr>
    </w:p>
    <w:p w:rsidR="00BC02FD" w:rsidRDefault="00BC02FD" w:rsidP="00BC02FD">
      <w:pPr>
        <w:pStyle w:val="BodyTextIndent2"/>
      </w:pPr>
      <w:r w:rsidRPr="00700B6D">
        <w:t xml:space="preserve">On </w:t>
      </w:r>
      <w:r>
        <w:t>December 16, 2009</w:t>
      </w:r>
      <w:r w:rsidRPr="00700B6D">
        <w:t xml:space="preserve"> the Supreme Court of Ohio adopted the following amendments to </w:t>
      </w:r>
      <w:r>
        <w:t>t</w:t>
      </w:r>
      <w:r w:rsidRPr="00BC02FD">
        <w:rPr>
          <w:szCs w:val="24"/>
        </w:rPr>
        <w:t xml:space="preserve">he Rules and Regulations Governing Procedure on Complaints and Hearings </w:t>
      </w:r>
      <w:proofErr w:type="gramStart"/>
      <w:r w:rsidRPr="00BC02FD">
        <w:rPr>
          <w:szCs w:val="24"/>
        </w:rPr>
        <w:t>Before</w:t>
      </w:r>
      <w:proofErr w:type="gramEnd"/>
      <w:r w:rsidRPr="00BC02FD">
        <w:rPr>
          <w:szCs w:val="24"/>
        </w:rPr>
        <w:t xml:space="preserve"> the Board of Commissioners on Grievances and Discipline of the Supreme Court</w:t>
      </w:r>
      <w:r>
        <w:rPr>
          <w:szCs w:val="24"/>
        </w:rPr>
        <w:t xml:space="preserve">.  </w:t>
      </w:r>
      <w:r>
        <w:t xml:space="preserve">The amendments </w:t>
      </w:r>
      <w:r w:rsidR="00D84826">
        <w:t xml:space="preserve">address designations of advisory opinions interpreting the former Code of Judicial Conduct and </w:t>
      </w:r>
      <w:r>
        <w:t xml:space="preserve">are </w:t>
      </w:r>
      <w:r w:rsidRPr="00700B6D">
        <w:t xml:space="preserve">effective </w:t>
      </w:r>
      <w:r w:rsidRPr="00BC02FD">
        <w:t>January 1, 2010</w:t>
      </w:r>
      <w:r>
        <w:t xml:space="preserve">.  </w:t>
      </w:r>
    </w:p>
    <w:p w:rsidR="00BC02FD" w:rsidRDefault="00BC02FD" w:rsidP="00850A27">
      <w:pPr>
        <w:pStyle w:val="BodyTextIndent2"/>
        <w:jc w:val="center"/>
        <w:rPr>
          <w:b/>
          <w:caps/>
          <w:szCs w:val="24"/>
        </w:rPr>
      </w:pPr>
    </w:p>
    <w:p w:rsidR="00BC02FD" w:rsidRDefault="00BC02FD" w:rsidP="00850A27">
      <w:pPr>
        <w:pStyle w:val="BodyTextIndent2"/>
        <w:jc w:val="center"/>
        <w:rPr>
          <w:b/>
          <w:caps/>
          <w:szCs w:val="24"/>
        </w:rPr>
      </w:pPr>
    </w:p>
    <w:p w:rsidR="00BC02FD" w:rsidRDefault="00BC02FD" w:rsidP="00BC02FD">
      <w:pPr>
        <w:pStyle w:val="BodyTextIndent2"/>
        <w:jc w:val="center"/>
        <w:rPr>
          <w:b/>
          <w:caps/>
          <w:szCs w:val="24"/>
        </w:rPr>
      </w:pPr>
      <w:r w:rsidRPr="00573727">
        <w:rPr>
          <w:b/>
          <w:caps/>
          <w:szCs w:val="24"/>
        </w:rPr>
        <w:t>The Rules and Regulations</w:t>
      </w:r>
      <w:r>
        <w:rPr>
          <w:b/>
          <w:caps/>
          <w:szCs w:val="24"/>
        </w:rPr>
        <w:t xml:space="preserve"> </w:t>
      </w:r>
      <w:r w:rsidRPr="00573727">
        <w:rPr>
          <w:b/>
          <w:caps/>
          <w:szCs w:val="24"/>
        </w:rPr>
        <w:t>Governing Procedure on Complaints and Hearings</w:t>
      </w:r>
      <w:r>
        <w:rPr>
          <w:b/>
          <w:caps/>
          <w:szCs w:val="24"/>
        </w:rPr>
        <w:t xml:space="preserve"> </w:t>
      </w:r>
      <w:r w:rsidRPr="00573727">
        <w:rPr>
          <w:b/>
          <w:caps/>
          <w:szCs w:val="24"/>
        </w:rPr>
        <w:t>Before the Board of Commissioners on Grievances and Discipline of the Supreme Court</w:t>
      </w:r>
    </w:p>
    <w:p w:rsidR="00BC02FD" w:rsidRDefault="00BC02FD" w:rsidP="00850A27">
      <w:pPr>
        <w:pStyle w:val="BodyTextIndent2"/>
        <w:jc w:val="center"/>
        <w:rPr>
          <w:b/>
          <w:caps/>
          <w:szCs w:val="24"/>
        </w:rPr>
      </w:pPr>
    </w:p>
    <w:p w:rsidR="00850A27" w:rsidRPr="008D5029" w:rsidRDefault="00850A27" w:rsidP="00850A27">
      <w:pPr>
        <w:pStyle w:val="BodyTextIndent2"/>
        <w:jc w:val="center"/>
        <w:rPr>
          <w:color w:val="000000"/>
        </w:rPr>
      </w:pPr>
    </w:p>
    <w:p w:rsidR="00850A27" w:rsidRDefault="00850A27" w:rsidP="00850A27">
      <w:pPr>
        <w:pStyle w:val="BodyTextIndent2"/>
        <w:jc w:val="center"/>
        <w:rPr>
          <w:b/>
          <w:szCs w:val="24"/>
        </w:rPr>
      </w:pPr>
      <w:r>
        <w:rPr>
          <w:b/>
          <w:szCs w:val="24"/>
        </w:rPr>
        <w:t>* * *</w:t>
      </w:r>
    </w:p>
    <w:p w:rsidR="00850A27" w:rsidRPr="00850A27" w:rsidRDefault="00850A27" w:rsidP="00850A27">
      <w:pPr>
        <w:pStyle w:val="BodyTextIndent2"/>
        <w:ind w:firstLine="0"/>
        <w:rPr>
          <w:b/>
          <w:szCs w:val="24"/>
        </w:rPr>
      </w:pPr>
    </w:p>
    <w:p w:rsidR="00850A27" w:rsidRDefault="00850A27" w:rsidP="00850A27">
      <w:pPr>
        <w:pStyle w:val="BodyText"/>
        <w:rPr>
          <w:b/>
          <w:bCs/>
          <w:color w:val="000000"/>
        </w:rPr>
        <w:sectPr w:rsidR="00850A27" w:rsidSect="00875BF2">
          <w:pgSz w:w="12240" w:h="15840" w:code="1"/>
          <w:pgMar w:top="1440" w:right="1440" w:bottom="1440" w:left="1440" w:header="720" w:footer="720" w:gutter="0"/>
          <w:pgNumType w:start="1"/>
          <w:cols w:space="720"/>
          <w:docGrid w:linePitch="360"/>
        </w:sectPr>
      </w:pPr>
    </w:p>
    <w:p w:rsidR="00850A27" w:rsidRPr="008D5029" w:rsidRDefault="00850A27" w:rsidP="00850A27">
      <w:pPr>
        <w:pStyle w:val="BodyTextIndent2"/>
        <w:rPr>
          <w:color w:val="000000"/>
        </w:rPr>
      </w:pPr>
      <w:proofErr w:type="gramStart"/>
      <w:r w:rsidRPr="008D5029">
        <w:rPr>
          <w:b/>
          <w:bCs/>
          <w:color w:val="000000"/>
        </w:rPr>
        <w:lastRenderedPageBreak/>
        <w:t>Section 20.</w:t>
      </w:r>
      <w:proofErr w:type="gramEnd"/>
      <w:r w:rsidRPr="008D5029">
        <w:rPr>
          <w:b/>
          <w:bCs/>
          <w:color w:val="000000"/>
        </w:rPr>
        <w:t xml:space="preserve"> Regulation for the Issuance of Advisory Opinions</w:t>
      </w:r>
    </w:p>
    <w:p w:rsidR="00850A27" w:rsidRPr="008D5029" w:rsidRDefault="00850A27" w:rsidP="00850A27">
      <w:pPr>
        <w:pStyle w:val="BodyTextIndent2"/>
        <w:ind w:firstLine="0"/>
        <w:rPr>
          <w:color w:val="000000"/>
        </w:rPr>
      </w:pPr>
    </w:p>
    <w:p w:rsidR="00850A27" w:rsidRDefault="00850A27" w:rsidP="00850A27">
      <w:pPr>
        <w:pStyle w:val="BodyTextIndent2"/>
        <w:jc w:val="center"/>
        <w:rPr>
          <w:b/>
          <w:szCs w:val="24"/>
        </w:rPr>
      </w:pPr>
      <w:r>
        <w:rPr>
          <w:b/>
          <w:szCs w:val="24"/>
        </w:rPr>
        <w:t>* * *</w:t>
      </w:r>
    </w:p>
    <w:p w:rsidR="00850A27" w:rsidRPr="008D5029" w:rsidRDefault="00850A27" w:rsidP="00850A27">
      <w:pPr>
        <w:pStyle w:val="BodyTextIndent2"/>
        <w:ind w:firstLine="0"/>
        <w:rPr>
          <w:color w:val="000000"/>
        </w:rPr>
      </w:pPr>
    </w:p>
    <w:p w:rsidR="00850A27" w:rsidRPr="008D5029" w:rsidRDefault="00850A27" w:rsidP="00850A27">
      <w:pPr>
        <w:pStyle w:val="BodyTextIndent2"/>
        <w:rPr>
          <w:color w:val="000000"/>
        </w:rPr>
      </w:pPr>
      <w:r w:rsidRPr="00A0224D">
        <w:rPr>
          <w:b/>
          <w:color w:val="000000"/>
        </w:rPr>
        <w:t>(B)</w:t>
      </w:r>
      <w:r w:rsidRPr="008D5029">
        <w:rPr>
          <w:b/>
          <w:color w:val="000000"/>
        </w:rPr>
        <w:t xml:space="preserve"> </w:t>
      </w:r>
      <w:r w:rsidR="00BC02FD">
        <w:rPr>
          <w:b/>
          <w:color w:val="000000"/>
        </w:rPr>
        <w:tab/>
      </w:r>
      <w:r w:rsidRPr="008D5029">
        <w:rPr>
          <w:b/>
          <w:color w:val="000000"/>
        </w:rPr>
        <w:t>Procedure for Maintenance</w:t>
      </w:r>
    </w:p>
    <w:p w:rsidR="00850A27" w:rsidRPr="008D5029" w:rsidRDefault="00850A27" w:rsidP="00850A27">
      <w:pPr>
        <w:pStyle w:val="NormalWeb"/>
        <w:spacing w:before="0" w:beforeAutospacing="0" w:after="0" w:afterAutospacing="0"/>
        <w:jc w:val="both"/>
        <w:rPr>
          <w:color w:val="000000"/>
        </w:rPr>
      </w:pPr>
    </w:p>
    <w:p w:rsidR="00850A27" w:rsidRPr="008D5029" w:rsidRDefault="00850A27" w:rsidP="00850A27">
      <w:pPr>
        <w:pStyle w:val="BodyTextIndent2"/>
        <w:rPr>
          <w:color w:val="000000"/>
        </w:rPr>
      </w:pPr>
      <w:r w:rsidRPr="008D5029">
        <w:rPr>
          <w:color w:val="000000"/>
        </w:rPr>
        <w:t>(1)</w:t>
      </w:r>
      <w:r>
        <w:rPr>
          <w:color w:val="000000"/>
        </w:rPr>
        <w:tab/>
      </w:r>
      <w:r w:rsidRPr="008D5029">
        <w:rPr>
          <w:color w:val="000000"/>
        </w:rPr>
        <w:t xml:space="preserve">A copy of each advisory opinion will be kept in the Board’s offices. </w:t>
      </w:r>
    </w:p>
    <w:p w:rsidR="00850A27" w:rsidRPr="008D5029" w:rsidRDefault="00850A27" w:rsidP="00850A27">
      <w:pPr>
        <w:pStyle w:val="BodyTextIndent2"/>
        <w:rPr>
          <w:color w:val="000000"/>
        </w:rPr>
      </w:pPr>
    </w:p>
    <w:p w:rsidR="00850A27" w:rsidRPr="008D5029" w:rsidRDefault="00850A27" w:rsidP="00850A27">
      <w:pPr>
        <w:pStyle w:val="BodyTextIndent2"/>
        <w:rPr>
          <w:color w:val="000000"/>
        </w:rPr>
      </w:pPr>
      <w:r w:rsidRPr="008D5029">
        <w:rPr>
          <w:color w:val="000000"/>
        </w:rPr>
        <w:t>(2)</w:t>
      </w:r>
      <w:r>
        <w:rPr>
          <w:color w:val="000000"/>
        </w:rPr>
        <w:tab/>
      </w:r>
      <w:r w:rsidRPr="008D5029">
        <w:rPr>
          <w:color w:val="000000"/>
        </w:rPr>
        <w:t>An advisory opinion that becomes withdrawn, modified, not current</w:t>
      </w:r>
      <w:r w:rsidRPr="00B22FE4">
        <w:rPr>
          <w:color w:val="000000"/>
        </w:rPr>
        <w:t>, or affected by other significant changes</w:t>
      </w:r>
      <w:r w:rsidRPr="00A0224D">
        <w:rPr>
          <w:color w:val="000000"/>
        </w:rPr>
        <w:t xml:space="preserve"> </w:t>
      </w:r>
      <w:r w:rsidRPr="008D5029">
        <w:rPr>
          <w:color w:val="000000"/>
        </w:rPr>
        <w:t xml:space="preserve">will be marked with an appropriate designation to indicate the status of the opinion. </w:t>
      </w:r>
    </w:p>
    <w:p w:rsidR="00850A27" w:rsidRPr="008D5029" w:rsidRDefault="00850A27" w:rsidP="00850A27">
      <w:pPr>
        <w:pStyle w:val="NormalWeb"/>
        <w:spacing w:before="0" w:beforeAutospacing="0" w:after="0" w:afterAutospacing="0"/>
        <w:jc w:val="both"/>
        <w:rPr>
          <w:color w:val="000000"/>
        </w:rPr>
      </w:pPr>
    </w:p>
    <w:p w:rsidR="00850A27" w:rsidRPr="008D5029" w:rsidRDefault="00850A27" w:rsidP="00850A27">
      <w:pPr>
        <w:pStyle w:val="BodyTextIndent2"/>
        <w:rPr>
          <w:color w:val="000000"/>
        </w:rPr>
      </w:pPr>
      <w:r w:rsidRPr="008D5029">
        <w:rPr>
          <w:color w:val="000000"/>
        </w:rPr>
        <w:t>(3)</w:t>
      </w:r>
      <w:r>
        <w:rPr>
          <w:color w:val="000000"/>
        </w:rPr>
        <w:tab/>
      </w:r>
      <w:r w:rsidRPr="008D5029">
        <w:rPr>
          <w:color w:val="000000"/>
        </w:rPr>
        <w:t xml:space="preserve">The designation “Withdrawn” will be used when an opinion has been withdrawn by majority vote of the Board.  The designation indicates that an opinion no longer represents the advice of the Board. </w:t>
      </w:r>
    </w:p>
    <w:p w:rsidR="00850A27" w:rsidRPr="008D5029" w:rsidRDefault="00850A27" w:rsidP="00850A27">
      <w:pPr>
        <w:pStyle w:val="BodyTextIndent2"/>
        <w:rPr>
          <w:color w:val="000000"/>
        </w:rPr>
      </w:pPr>
    </w:p>
    <w:p w:rsidR="00850A27" w:rsidRPr="008D5029" w:rsidRDefault="00850A27" w:rsidP="00850A27">
      <w:pPr>
        <w:pStyle w:val="BodyTextIndent2"/>
        <w:rPr>
          <w:color w:val="000000"/>
        </w:rPr>
      </w:pPr>
      <w:r w:rsidRPr="008D5029">
        <w:rPr>
          <w:color w:val="000000"/>
        </w:rPr>
        <w:t>(4)</w:t>
      </w:r>
      <w:r>
        <w:rPr>
          <w:color w:val="000000"/>
        </w:rPr>
        <w:tab/>
      </w:r>
      <w:r w:rsidRPr="008D5029">
        <w:rPr>
          <w:color w:val="000000"/>
        </w:rPr>
        <w:t xml:space="preserve">The designation “Modified” will be used when an opinion has been modified by majority vote of the Board.  The designation indicates that an opinion has been modified by a subsequent opinion. </w:t>
      </w:r>
    </w:p>
    <w:p w:rsidR="00850A27" w:rsidRPr="008D5029" w:rsidRDefault="00850A27" w:rsidP="00850A27">
      <w:pPr>
        <w:pStyle w:val="BodyTextIndent2"/>
        <w:rPr>
          <w:color w:val="000000"/>
        </w:rPr>
      </w:pPr>
    </w:p>
    <w:p w:rsidR="00850A27" w:rsidRPr="008D5029" w:rsidRDefault="00850A27" w:rsidP="00850A27">
      <w:pPr>
        <w:pStyle w:val="BodyTextIndent2"/>
        <w:rPr>
          <w:color w:val="000000"/>
        </w:rPr>
      </w:pPr>
      <w:r w:rsidRPr="008D5029">
        <w:rPr>
          <w:color w:val="000000"/>
        </w:rPr>
        <w:t>(5)</w:t>
      </w:r>
      <w:r>
        <w:rPr>
          <w:color w:val="000000"/>
        </w:rPr>
        <w:tab/>
      </w:r>
      <w:r w:rsidRPr="008D5029">
        <w:rPr>
          <w:color w:val="000000"/>
        </w:rPr>
        <w:t xml:space="preserve">The designation “Not Current” will be used at the discretion of the Board’s attorney staff to indicate that an opinion is not current in its entirety.  The designation that an opinion is no longer current in its entirety may be used to indicate a variety of reasons such as subsequent amendments to rules or statutes, or developments in case law. </w:t>
      </w:r>
    </w:p>
    <w:p w:rsidR="00850A27" w:rsidRPr="008D5029" w:rsidRDefault="00850A27" w:rsidP="00850A27">
      <w:pPr>
        <w:pStyle w:val="BodyTextIndent2"/>
        <w:rPr>
          <w:color w:val="000000"/>
        </w:rPr>
      </w:pPr>
    </w:p>
    <w:p w:rsidR="00850A27" w:rsidRPr="004C0AAE" w:rsidRDefault="00850A27" w:rsidP="00850A27">
      <w:pPr>
        <w:pStyle w:val="BodyTextIndent2"/>
        <w:rPr>
          <w:color w:val="000000"/>
        </w:rPr>
      </w:pPr>
      <w:r w:rsidRPr="008D5029">
        <w:rPr>
          <w:color w:val="000000"/>
        </w:rPr>
        <w:lastRenderedPageBreak/>
        <w:t>(</w:t>
      </w:r>
      <w:r>
        <w:rPr>
          <w:color w:val="000000"/>
        </w:rPr>
        <w:t>6</w:t>
      </w:r>
      <w:r w:rsidRPr="008D5029">
        <w:rPr>
          <w:color w:val="000000"/>
        </w:rPr>
        <w:t>)</w:t>
      </w:r>
      <w:r>
        <w:rPr>
          <w:color w:val="000000"/>
        </w:rPr>
        <w:tab/>
      </w:r>
      <w:r w:rsidRPr="004C0AAE">
        <w:rPr>
          <w:color w:val="000000"/>
        </w:rPr>
        <w:t xml:space="preserve">The designation “CPR Opinion” will be used when an opinion provides guidance under the Ohio Code of Professional Responsibility that is superseded by the Ohio Rules of Professional Conduct, effective February 1, 2007.  The designation indicates that the opinion provides guidance regarding the Board’s advice under the superseded </w:t>
      </w:r>
      <w:r w:rsidR="00147B8B" w:rsidRPr="00284367">
        <w:rPr>
          <w:color w:val="000000"/>
        </w:rPr>
        <w:t>Code</w:t>
      </w:r>
      <w:r w:rsidRPr="004C0AAE">
        <w:rPr>
          <w:color w:val="000000"/>
        </w:rPr>
        <w:t xml:space="preserve">. </w:t>
      </w:r>
    </w:p>
    <w:p w:rsidR="00850A27" w:rsidRPr="004C0AAE" w:rsidRDefault="00850A27" w:rsidP="00850A27">
      <w:pPr>
        <w:pStyle w:val="NormalWeb"/>
        <w:spacing w:before="0" w:beforeAutospacing="0" w:after="0" w:afterAutospacing="0"/>
        <w:jc w:val="both"/>
        <w:rPr>
          <w:color w:val="000000"/>
        </w:rPr>
      </w:pPr>
    </w:p>
    <w:p w:rsidR="004C0AAE" w:rsidRDefault="00850A27" w:rsidP="00850A27">
      <w:pPr>
        <w:pStyle w:val="BodyTextIndent2"/>
        <w:rPr>
          <w:color w:val="000000"/>
          <w:u w:val="single"/>
        </w:rPr>
      </w:pPr>
      <w:r w:rsidRPr="004C0AAE">
        <w:rPr>
          <w:color w:val="000000"/>
        </w:rPr>
        <w:t>(7)</w:t>
      </w:r>
      <w:r>
        <w:rPr>
          <w:color w:val="000000"/>
        </w:rPr>
        <w:tab/>
      </w:r>
      <w:r w:rsidR="004C0AAE" w:rsidRPr="00284367">
        <w:rPr>
          <w:color w:val="000000"/>
        </w:rPr>
        <w:t>The designation “</w:t>
      </w:r>
      <w:r w:rsidR="00147B8B" w:rsidRPr="00284367">
        <w:rPr>
          <w:color w:val="000000"/>
        </w:rPr>
        <w:t>Former CJC</w:t>
      </w:r>
      <w:r w:rsidR="004C0AAE" w:rsidRPr="00284367">
        <w:rPr>
          <w:color w:val="000000"/>
        </w:rPr>
        <w:t xml:space="preserve"> Opinion” will be used when an opinion provides guidance under the </w:t>
      </w:r>
      <w:r w:rsidR="00147B8B" w:rsidRPr="00284367">
        <w:rPr>
          <w:color w:val="000000"/>
        </w:rPr>
        <w:t xml:space="preserve">former </w:t>
      </w:r>
      <w:r w:rsidR="004C0AAE" w:rsidRPr="00284367">
        <w:rPr>
          <w:color w:val="000000"/>
        </w:rPr>
        <w:t xml:space="preserve">Ohio Code of </w:t>
      </w:r>
      <w:r w:rsidR="00147B8B" w:rsidRPr="00284367">
        <w:rPr>
          <w:color w:val="000000"/>
        </w:rPr>
        <w:t>Judicial Conduct</w:t>
      </w:r>
      <w:r w:rsidR="004C0AAE" w:rsidRPr="00284367">
        <w:rPr>
          <w:color w:val="000000"/>
        </w:rPr>
        <w:t xml:space="preserve"> that is superseded by the Ohio </w:t>
      </w:r>
      <w:r w:rsidR="00147B8B" w:rsidRPr="00284367">
        <w:rPr>
          <w:color w:val="000000"/>
        </w:rPr>
        <w:t>Code of Judicial Conduct</w:t>
      </w:r>
      <w:r w:rsidR="004C0AAE" w:rsidRPr="00284367">
        <w:rPr>
          <w:color w:val="000000"/>
        </w:rPr>
        <w:t xml:space="preserve">, effective </w:t>
      </w:r>
      <w:r w:rsidR="00147B8B" w:rsidRPr="00284367">
        <w:rPr>
          <w:color w:val="000000"/>
        </w:rPr>
        <w:t>March</w:t>
      </w:r>
      <w:r w:rsidR="004C0AAE" w:rsidRPr="00284367">
        <w:rPr>
          <w:color w:val="000000"/>
        </w:rPr>
        <w:t xml:space="preserve"> 1, 200</w:t>
      </w:r>
      <w:r w:rsidR="00147B8B" w:rsidRPr="00284367">
        <w:rPr>
          <w:color w:val="000000"/>
        </w:rPr>
        <w:t>9</w:t>
      </w:r>
      <w:r w:rsidR="004C0AAE" w:rsidRPr="00284367">
        <w:rPr>
          <w:color w:val="000000"/>
        </w:rPr>
        <w:t>.  The designation indicates that the opinion provides guidance regarding the Board’s advice under the superseded Code.</w:t>
      </w:r>
    </w:p>
    <w:p w:rsidR="004C0AAE" w:rsidRDefault="004C0AAE" w:rsidP="00850A27">
      <w:pPr>
        <w:pStyle w:val="BodyTextIndent2"/>
        <w:rPr>
          <w:color w:val="000000"/>
          <w:u w:val="single"/>
        </w:rPr>
      </w:pPr>
    </w:p>
    <w:p w:rsidR="00FB3D12" w:rsidRDefault="004C0AAE" w:rsidP="004C0AAE">
      <w:pPr>
        <w:pStyle w:val="BodyTextIndent2"/>
        <w:rPr>
          <w:color w:val="000000"/>
          <w:u w:val="single"/>
        </w:rPr>
      </w:pPr>
      <w:r w:rsidRPr="00284367">
        <w:rPr>
          <w:color w:val="000000"/>
        </w:rPr>
        <w:t>(8)</w:t>
      </w:r>
      <w:r w:rsidRPr="004C0AAE">
        <w:rPr>
          <w:color w:val="000000"/>
        </w:rPr>
        <w:tab/>
      </w:r>
      <w:r w:rsidR="00850A27" w:rsidRPr="008D5029">
        <w:rPr>
          <w:color w:val="000000"/>
        </w:rPr>
        <w:t>Other designations, as needed, may be used by majority vote of the Board</w:t>
      </w:r>
    </w:p>
    <w:p w:rsidR="00FB3D12" w:rsidRDefault="00FB3D12" w:rsidP="00850A27">
      <w:pPr>
        <w:pStyle w:val="BodyTextIndent2"/>
        <w:rPr>
          <w:color w:val="000000"/>
          <w:u w:val="single"/>
        </w:rPr>
      </w:pPr>
    </w:p>
    <w:p w:rsidR="00850A27" w:rsidRDefault="00284367" w:rsidP="00850A27">
      <w:pPr>
        <w:ind w:firstLine="720"/>
        <w:jc w:val="both"/>
      </w:pPr>
      <w:r w:rsidRPr="00284367">
        <w:t>(</w:t>
      </w:r>
      <w:r w:rsidR="004C0AAE" w:rsidRPr="00284367">
        <w:t>9</w:t>
      </w:r>
      <w:r w:rsidR="00FB3D12" w:rsidRPr="00284367">
        <w:t>)</w:t>
      </w:r>
      <w:r w:rsidR="00850A27">
        <w:tab/>
      </w:r>
      <w:r w:rsidR="00850A27" w:rsidRPr="008D5029">
        <w:t xml:space="preserve">The Advisory Opinion Index will include a </w:t>
      </w:r>
      <w:r w:rsidR="00850A27" w:rsidRPr="00B22FE4">
        <w:t>status</w:t>
      </w:r>
      <w:r w:rsidR="00850A27" w:rsidRPr="008D5029">
        <w:t xml:space="preserve"> list identifying the opinions</w:t>
      </w:r>
      <w:r w:rsidR="00274759">
        <w:t xml:space="preserve"> </w:t>
      </w:r>
      <w:r w:rsidR="00850A27" w:rsidRPr="00A0224D">
        <w:t xml:space="preserve">and </w:t>
      </w:r>
      <w:r w:rsidR="00850A27" w:rsidRPr="00B22FE4">
        <w:t>the</w:t>
      </w:r>
      <w:r w:rsidR="00274759">
        <w:t xml:space="preserve"> </w:t>
      </w:r>
      <w:r w:rsidR="00850A27" w:rsidRPr="00A0224D">
        <w:t>designations</w:t>
      </w:r>
      <w:r w:rsidR="00850A27" w:rsidRPr="008D5029">
        <w:t>.</w:t>
      </w:r>
    </w:p>
    <w:p w:rsidR="00E321E1" w:rsidRDefault="00E321E1" w:rsidP="00850A27">
      <w:pPr>
        <w:ind w:firstLine="720"/>
        <w:jc w:val="both"/>
      </w:pPr>
    </w:p>
    <w:p w:rsidR="00E321E1" w:rsidRDefault="00E321E1" w:rsidP="00850A27">
      <w:pPr>
        <w:ind w:firstLine="720"/>
        <w:jc w:val="both"/>
      </w:pPr>
    </w:p>
    <w:p w:rsidR="00E321E1" w:rsidRDefault="00E321E1" w:rsidP="00850A27">
      <w:pPr>
        <w:ind w:firstLine="720"/>
        <w:jc w:val="both"/>
      </w:pPr>
      <w:r>
        <w:rPr>
          <w:color w:val="000000"/>
          <w:sz w:val="23"/>
          <w:szCs w:val="23"/>
        </w:rPr>
        <w:t>[Regulation for the Issuance of Advisory Opinions Adopted effective March 1, 1997; Numbered as Section 20 effective June 1, 2000; February 1, 2007; January 1, 2010.]</w:t>
      </w:r>
    </w:p>
    <w:sectPr w:rsidR="00E321E1" w:rsidSect="004A60D8">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8CD" w:rsidRDefault="002518CD" w:rsidP="00875BF2">
      <w:r>
        <w:separator/>
      </w:r>
    </w:p>
  </w:endnote>
  <w:endnote w:type="continuationSeparator" w:id="0">
    <w:p w:rsidR="002518CD" w:rsidRDefault="002518CD" w:rsidP="00875B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8CD" w:rsidRDefault="002518CD" w:rsidP="00875BF2">
      <w:r>
        <w:separator/>
      </w:r>
    </w:p>
  </w:footnote>
  <w:footnote w:type="continuationSeparator" w:id="0">
    <w:p w:rsidR="002518CD" w:rsidRDefault="002518CD" w:rsidP="00875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C604B"/>
    <w:multiLevelType w:val="hybridMultilevel"/>
    <w:tmpl w:val="88A46D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850A27"/>
    <w:rsid w:val="00094EDA"/>
    <w:rsid w:val="00147B8B"/>
    <w:rsid w:val="00172E30"/>
    <w:rsid w:val="001E1276"/>
    <w:rsid w:val="0023523F"/>
    <w:rsid w:val="002518CD"/>
    <w:rsid w:val="00274759"/>
    <w:rsid w:val="00284367"/>
    <w:rsid w:val="003135D4"/>
    <w:rsid w:val="00345CBF"/>
    <w:rsid w:val="00386A29"/>
    <w:rsid w:val="004365E6"/>
    <w:rsid w:val="00457C95"/>
    <w:rsid w:val="00481487"/>
    <w:rsid w:val="004A60D8"/>
    <w:rsid w:val="004C0AAE"/>
    <w:rsid w:val="004E0B02"/>
    <w:rsid w:val="00524BD9"/>
    <w:rsid w:val="00576C38"/>
    <w:rsid w:val="005B598A"/>
    <w:rsid w:val="00674981"/>
    <w:rsid w:val="007011FF"/>
    <w:rsid w:val="007713BB"/>
    <w:rsid w:val="00791DF1"/>
    <w:rsid w:val="00850A27"/>
    <w:rsid w:val="008728BA"/>
    <w:rsid w:val="00875BF2"/>
    <w:rsid w:val="00937F9A"/>
    <w:rsid w:val="00957E28"/>
    <w:rsid w:val="00A1577E"/>
    <w:rsid w:val="00A1610D"/>
    <w:rsid w:val="00A30097"/>
    <w:rsid w:val="00A5707E"/>
    <w:rsid w:val="00AF08C9"/>
    <w:rsid w:val="00B22FE4"/>
    <w:rsid w:val="00B24576"/>
    <w:rsid w:val="00B265CB"/>
    <w:rsid w:val="00B300A6"/>
    <w:rsid w:val="00B73FE3"/>
    <w:rsid w:val="00BC02FD"/>
    <w:rsid w:val="00CE78AE"/>
    <w:rsid w:val="00D03D90"/>
    <w:rsid w:val="00D84826"/>
    <w:rsid w:val="00DA41BB"/>
    <w:rsid w:val="00E321E1"/>
    <w:rsid w:val="00EE04A0"/>
    <w:rsid w:val="00EF33F1"/>
    <w:rsid w:val="00F8401A"/>
    <w:rsid w:val="00FB3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A2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50A27"/>
    <w:pPr>
      <w:ind w:firstLine="720"/>
      <w:jc w:val="both"/>
    </w:pPr>
  </w:style>
  <w:style w:type="character" w:customStyle="1" w:styleId="BodyTextIndent2Char">
    <w:name w:val="Body Text Indent 2 Char"/>
    <w:basedOn w:val="DefaultParagraphFont"/>
    <w:link w:val="BodyTextIndent2"/>
    <w:rsid w:val="00850A27"/>
    <w:rPr>
      <w:sz w:val="24"/>
    </w:rPr>
  </w:style>
  <w:style w:type="paragraph" w:styleId="NormalWeb">
    <w:name w:val="Normal (Web)"/>
    <w:basedOn w:val="Normal"/>
    <w:rsid w:val="00850A27"/>
    <w:pPr>
      <w:spacing w:before="100" w:beforeAutospacing="1" w:after="100" w:afterAutospacing="1"/>
    </w:pPr>
    <w:rPr>
      <w:szCs w:val="24"/>
    </w:rPr>
  </w:style>
  <w:style w:type="paragraph" w:styleId="BlockText">
    <w:name w:val="Block Text"/>
    <w:basedOn w:val="Normal"/>
    <w:rsid w:val="00850A27"/>
    <w:pPr>
      <w:ind w:left="720" w:right="720"/>
      <w:jc w:val="both"/>
    </w:pPr>
  </w:style>
  <w:style w:type="paragraph" w:styleId="BodyText">
    <w:name w:val="Body Text"/>
    <w:basedOn w:val="Normal"/>
    <w:link w:val="BodyTextChar"/>
    <w:rsid w:val="00850A27"/>
    <w:pPr>
      <w:spacing w:after="120"/>
    </w:pPr>
  </w:style>
  <w:style w:type="character" w:customStyle="1" w:styleId="BodyTextChar">
    <w:name w:val="Body Text Char"/>
    <w:basedOn w:val="DefaultParagraphFont"/>
    <w:link w:val="BodyText"/>
    <w:rsid w:val="00850A27"/>
    <w:rPr>
      <w:sz w:val="24"/>
    </w:rPr>
  </w:style>
  <w:style w:type="character" w:styleId="LineNumber">
    <w:name w:val="line number"/>
    <w:basedOn w:val="DefaultParagraphFont"/>
    <w:rsid w:val="00850A27"/>
  </w:style>
  <w:style w:type="paragraph" w:styleId="Footer">
    <w:name w:val="footer"/>
    <w:basedOn w:val="Normal"/>
    <w:link w:val="FooterChar"/>
    <w:uiPriority w:val="99"/>
    <w:rsid w:val="00576C38"/>
    <w:pPr>
      <w:tabs>
        <w:tab w:val="center" w:pos="4320"/>
        <w:tab w:val="right" w:pos="8640"/>
      </w:tabs>
    </w:pPr>
    <w:rPr>
      <w:sz w:val="28"/>
    </w:rPr>
  </w:style>
  <w:style w:type="character" w:customStyle="1" w:styleId="FooterChar">
    <w:name w:val="Footer Char"/>
    <w:basedOn w:val="DefaultParagraphFont"/>
    <w:link w:val="Footer"/>
    <w:uiPriority w:val="99"/>
    <w:rsid w:val="00576C38"/>
    <w:rPr>
      <w:sz w:val="28"/>
    </w:rPr>
  </w:style>
  <w:style w:type="paragraph" w:styleId="BalloonText">
    <w:name w:val="Balloon Text"/>
    <w:basedOn w:val="Normal"/>
    <w:link w:val="BalloonTextChar"/>
    <w:rsid w:val="00576C38"/>
    <w:rPr>
      <w:rFonts w:ascii="Tahoma" w:hAnsi="Tahoma" w:cs="Tahoma"/>
      <w:sz w:val="16"/>
      <w:szCs w:val="16"/>
    </w:rPr>
  </w:style>
  <w:style w:type="character" w:customStyle="1" w:styleId="BalloonTextChar">
    <w:name w:val="Balloon Text Char"/>
    <w:basedOn w:val="DefaultParagraphFont"/>
    <w:link w:val="BalloonText"/>
    <w:rsid w:val="00576C38"/>
    <w:rPr>
      <w:rFonts w:ascii="Tahoma" w:hAnsi="Tahoma" w:cs="Tahoma"/>
      <w:sz w:val="16"/>
      <w:szCs w:val="16"/>
    </w:rPr>
  </w:style>
  <w:style w:type="paragraph" w:styleId="Header">
    <w:name w:val="header"/>
    <w:basedOn w:val="Normal"/>
    <w:link w:val="HeaderChar"/>
    <w:uiPriority w:val="99"/>
    <w:rsid w:val="00875BF2"/>
    <w:pPr>
      <w:tabs>
        <w:tab w:val="center" w:pos="4680"/>
        <w:tab w:val="right" w:pos="9360"/>
      </w:tabs>
    </w:pPr>
  </w:style>
  <w:style w:type="character" w:customStyle="1" w:styleId="HeaderChar">
    <w:name w:val="Header Char"/>
    <w:basedOn w:val="DefaultParagraphFont"/>
    <w:link w:val="Header"/>
    <w:uiPriority w:val="99"/>
    <w:rsid w:val="00875BF2"/>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3EDB9-8F04-45EA-96F7-72CB62D3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Supreme Court of Ohio</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Dove</dc:creator>
  <cp:keywords/>
  <dc:description/>
  <cp:lastModifiedBy>dennisj</cp:lastModifiedBy>
  <cp:revision>2</cp:revision>
  <cp:lastPrinted>2009-12-17T14:11:00Z</cp:lastPrinted>
  <dcterms:created xsi:type="dcterms:W3CDTF">2009-12-17T14:11:00Z</dcterms:created>
  <dcterms:modified xsi:type="dcterms:W3CDTF">2009-12-17T14:11:00Z</dcterms:modified>
</cp:coreProperties>
</file>